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3B0A" w14:textId="77777777" w:rsidR="00CF3804" w:rsidRPr="00BA7927" w:rsidRDefault="00CF3804" w:rsidP="00CF3804">
      <w:pPr>
        <w:spacing w:after="0" w:line="360" w:lineRule="auto"/>
        <w:jc w:val="center"/>
        <w:rPr>
          <w:rFonts w:eastAsia="Times New Roman" w:cs="Times New Roman"/>
          <w:szCs w:val="24"/>
          <w:highlight w:val="green"/>
          <w:lang w:eastAsia="es-CO"/>
        </w:rPr>
      </w:pPr>
      <w:bookmarkStart w:id="0" w:name="_Hlk51913720"/>
      <w:r w:rsidRPr="00BA7927">
        <w:rPr>
          <w:rFonts w:eastAsia="Times New Roman" w:cs="Times New Roman"/>
          <w:b/>
          <w:bCs/>
          <w:szCs w:val="24"/>
          <w:highlight w:val="green"/>
          <w:lang w:eastAsia="es-CO"/>
        </w:rPr>
        <w:t xml:space="preserve">DECRETO </w:t>
      </w:r>
      <w:proofErr w:type="spellStart"/>
      <w:r w:rsidRPr="00BA7927">
        <w:rPr>
          <w:rFonts w:eastAsia="Times New Roman" w:cs="Times New Roman"/>
          <w:b/>
          <w:bCs/>
          <w:szCs w:val="24"/>
          <w:highlight w:val="green"/>
          <w:lang w:eastAsia="es-CO"/>
        </w:rPr>
        <w:t>Nº</w:t>
      </w:r>
      <w:proofErr w:type="spellEnd"/>
      <w:r w:rsidRPr="00BA7927">
        <w:rPr>
          <w:rFonts w:eastAsia="Times New Roman" w:cs="Times New Roman"/>
          <w:b/>
          <w:bCs/>
          <w:szCs w:val="24"/>
          <w:highlight w:val="green"/>
          <w:lang w:eastAsia="es-CO"/>
        </w:rPr>
        <w:t xml:space="preserve"> 957</w:t>
      </w:r>
    </w:p>
    <w:p w14:paraId="29F1BB23" w14:textId="77777777" w:rsidR="00CF3804" w:rsidRPr="00BA7927" w:rsidRDefault="00CF3804" w:rsidP="00CF3804">
      <w:pPr>
        <w:spacing w:after="0" w:line="360" w:lineRule="auto"/>
        <w:jc w:val="center"/>
        <w:rPr>
          <w:rFonts w:eastAsia="Times New Roman" w:cs="Times New Roman"/>
          <w:b/>
          <w:bCs/>
          <w:szCs w:val="24"/>
          <w:highlight w:val="green"/>
          <w:lang w:eastAsia="es-CO"/>
        </w:rPr>
      </w:pPr>
    </w:p>
    <w:p w14:paraId="23F79577" w14:textId="2E2BE8CE" w:rsidR="00745F8D" w:rsidRPr="00745F8D" w:rsidRDefault="00CF3804" w:rsidP="00381821">
      <w:pPr>
        <w:spacing w:after="0" w:line="360" w:lineRule="auto"/>
        <w:jc w:val="center"/>
        <w:rPr>
          <w:rFonts w:eastAsia="Times New Roman" w:cs="Times New Roman"/>
          <w:b/>
          <w:bCs/>
          <w:szCs w:val="24"/>
          <w:lang w:eastAsia="es-CO"/>
        </w:rPr>
      </w:pPr>
      <w:r w:rsidRPr="00BA7927">
        <w:rPr>
          <w:rFonts w:eastAsia="Times New Roman" w:cs="Times New Roman"/>
          <w:b/>
          <w:bCs/>
          <w:szCs w:val="24"/>
          <w:highlight w:val="green"/>
          <w:lang w:eastAsia="es-CO"/>
        </w:rPr>
        <w:t>05-06-2019</w:t>
      </w:r>
    </w:p>
    <w:p w14:paraId="1D742DF2" w14:textId="77777777" w:rsidR="00745F8D" w:rsidRPr="00745F8D" w:rsidRDefault="00745F8D" w:rsidP="00381821">
      <w:pPr>
        <w:spacing w:after="0" w:line="360" w:lineRule="auto"/>
        <w:jc w:val="center"/>
        <w:rPr>
          <w:rFonts w:eastAsia="Times New Roman" w:cs="Times New Roman"/>
          <w:szCs w:val="24"/>
          <w:lang w:eastAsia="es-CO"/>
        </w:rPr>
      </w:pPr>
    </w:p>
    <w:p w14:paraId="0D135171" w14:textId="77777777" w:rsidR="00745F8D" w:rsidRPr="00745F8D" w:rsidRDefault="00745F8D" w:rsidP="00381821">
      <w:pPr>
        <w:spacing w:after="0" w:line="360" w:lineRule="auto"/>
        <w:jc w:val="center"/>
        <w:rPr>
          <w:rFonts w:eastAsia="Times New Roman" w:cs="Times New Roman"/>
          <w:szCs w:val="24"/>
          <w:lang w:eastAsia="es-CO"/>
        </w:rPr>
      </w:pPr>
      <w:r w:rsidRPr="00745F8D">
        <w:rPr>
          <w:rFonts w:eastAsia="Times New Roman" w:cs="Times New Roman"/>
          <w:b/>
          <w:bCs/>
          <w:szCs w:val="24"/>
          <w:lang w:eastAsia="es-CO"/>
        </w:rPr>
        <w:t>MINISTERIO DE COMERCIO, INDUSTRIA Y TURISMO</w:t>
      </w:r>
    </w:p>
    <w:p w14:paraId="52CE49DC" w14:textId="658EE3AD" w:rsidR="00745F8D" w:rsidRPr="00745F8D" w:rsidRDefault="00745F8D" w:rsidP="00381821">
      <w:pPr>
        <w:spacing w:after="0" w:line="360" w:lineRule="auto"/>
        <w:jc w:val="center"/>
        <w:rPr>
          <w:rFonts w:eastAsia="Times New Roman" w:cs="Times New Roman"/>
          <w:szCs w:val="24"/>
          <w:lang w:eastAsia="es-CO"/>
        </w:rPr>
      </w:pPr>
      <w:r w:rsidRPr="00745F8D">
        <w:rPr>
          <w:rFonts w:eastAsia="Times New Roman" w:cs="Times New Roman"/>
          <w:b/>
          <w:bCs/>
          <w:i/>
          <w:iCs/>
          <w:szCs w:val="24"/>
          <w:lang w:eastAsia="es-CO"/>
        </w:rPr>
        <w:t>  </w:t>
      </w:r>
    </w:p>
    <w:p w14:paraId="4EF45064" w14:textId="77777777" w:rsidR="00745F8D" w:rsidRPr="00745F8D" w:rsidRDefault="00745F8D" w:rsidP="00381821">
      <w:pPr>
        <w:spacing w:after="0" w:line="360" w:lineRule="auto"/>
        <w:jc w:val="center"/>
        <w:rPr>
          <w:rFonts w:eastAsia="Times New Roman" w:cs="Times New Roman"/>
          <w:szCs w:val="24"/>
          <w:lang w:eastAsia="es-CO"/>
        </w:rPr>
      </w:pPr>
      <w:r w:rsidRPr="00745F8D">
        <w:rPr>
          <w:rFonts w:eastAsia="Times New Roman" w:cs="Times New Roman"/>
          <w:i/>
          <w:iCs/>
          <w:szCs w:val="24"/>
          <w:lang w:eastAsia="es-CO"/>
        </w:rPr>
        <w:t>por el cual se adiciona el Capítulo 13 al Título 1 de la Parte 2 del Libro 2 del Decreto número 1074 de 2015, Decreto Único del Sector Comercio, Industria y Turismo y se reglamenta el artículo 2° de la Ley 590 de 2000, modificado por el artículo 43 de la Ley 1450 de 2011.</w:t>
      </w:r>
    </w:p>
    <w:p w14:paraId="0DBCF382"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24D67A46"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33301689" w14:textId="1763F651" w:rsidR="00745F8D" w:rsidRPr="00745F8D" w:rsidRDefault="00745F8D" w:rsidP="00BA7927">
      <w:pPr>
        <w:spacing w:after="0" w:line="360" w:lineRule="auto"/>
        <w:jc w:val="both"/>
        <w:rPr>
          <w:rFonts w:eastAsia="Times New Roman" w:cs="Times New Roman"/>
          <w:szCs w:val="24"/>
          <w:lang w:eastAsia="es-CO"/>
        </w:rPr>
      </w:pPr>
      <w:r w:rsidRPr="00745F8D">
        <w:rPr>
          <w:rFonts w:eastAsia="Times New Roman" w:cs="Times New Roman"/>
          <w:szCs w:val="24"/>
          <w:lang w:eastAsia="es-CO"/>
        </w:rPr>
        <w:t>El Presidente de la República de Colombia, en ejercicio de sus facultades constitucionales y legales, en especial las que le confiere el artículo 189 numeral 11 de la Constitución Política y el artículo 2° de la Ley 590 de 2000, modificado por el artículo 43 de la Ley 1450 de 2011, y </w:t>
      </w:r>
    </w:p>
    <w:p w14:paraId="56DD447C" w14:textId="77777777" w:rsidR="00745F8D" w:rsidRPr="00745F8D" w:rsidRDefault="00745F8D" w:rsidP="00381821">
      <w:pPr>
        <w:spacing w:after="0" w:line="360" w:lineRule="auto"/>
        <w:jc w:val="center"/>
        <w:rPr>
          <w:rFonts w:eastAsia="Times New Roman" w:cs="Times New Roman"/>
          <w:szCs w:val="24"/>
          <w:lang w:eastAsia="es-CO"/>
        </w:rPr>
      </w:pPr>
      <w:r w:rsidRPr="00745F8D">
        <w:rPr>
          <w:rFonts w:eastAsia="Times New Roman" w:cs="Times New Roman"/>
          <w:szCs w:val="24"/>
          <w:lang w:eastAsia="es-CO"/>
        </w:rPr>
        <w:t> </w:t>
      </w:r>
    </w:p>
    <w:p w14:paraId="0199242A" w14:textId="77777777" w:rsidR="00745F8D" w:rsidRPr="00745F8D" w:rsidRDefault="00745F8D" w:rsidP="00381821">
      <w:pPr>
        <w:spacing w:after="0" w:line="360" w:lineRule="auto"/>
        <w:jc w:val="center"/>
        <w:rPr>
          <w:rFonts w:eastAsia="Times New Roman" w:cs="Times New Roman"/>
          <w:szCs w:val="24"/>
          <w:lang w:eastAsia="es-CO"/>
        </w:rPr>
      </w:pPr>
      <w:r w:rsidRPr="00745F8D">
        <w:rPr>
          <w:rFonts w:eastAsia="Times New Roman" w:cs="Times New Roman"/>
          <w:b/>
          <w:bCs/>
          <w:szCs w:val="24"/>
          <w:lang w:eastAsia="es-CO"/>
        </w:rPr>
        <w:t>CONSIDERANDO:</w:t>
      </w:r>
    </w:p>
    <w:p w14:paraId="6B0D0DF0"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b/>
          <w:bCs/>
          <w:szCs w:val="24"/>
          <w:lang w:eastAsia="es-CO"/>
        </w:rPr>
        <w:t> </w:t>
      </w:r>
    </w:p>
    <w:p w14:paraId="6EDC903F"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Que el artículo 2° de la Ley 590 de 2000, </w:t>
      </w:r>
      <w:r w:rsidRPr="00745F8D">
        <w:rPr>
          <w:rFonts w:eastAsia="Times New Roman" w:cs="Times New Roman"/>
          <w:i/>
          <w:iCs/>
          <w:szCs w:val="24"/>
          <w:lang w:eastAsia="es-CO"/>
        </w:rPr>
        <w:t>por la cual se dictan disposiciones para promover el desarrollo de las micro, pequeñas y medianas empresas</w:t>
      </w:r>
      <w:r w:rsidRPr="00745F8D">
        <w:rPr>
          <w:rFonts w:eastAsia="Times New Roman" w:cs="Times New Roman"/>
          <w:szCs w:val="24"/>
          <w:lang w:eastAsia="es-CO"/>
        </w:rPr>
        <w:t>, modificado por el artículo 2° de la Ley 905 de 2004 y por el artículo 43 de la Ley 1450 de 2011, define las micro, pequeñas y medianas empresas, así:</w:t>
      </w:r>
    </w:p>
    <w:p w14:paraId="1E96A106"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13AC1875"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“Artículo 2°. </w:t>
      </w:r>
      <w:r w:rsidRPr="00745F8D">
        <w:rPr>
          <w:rFonts w:eastAsia="Times New Roman" w:cs="Times New Roman"/>
          <w:b/>
          <w:bCs/>
          <w:i/>
          <w:iCs/>
          <w:szCs w:val="24"/>
          <w:lang w:eastAsia="es-CO"/>
        </w:rPr>
        <w:t>Definiciones de tamaño empresarial</w:t>
      </w:r>
      <w:r w:rsidRPr="00745F8D">
        <w:rPr>
          <w:rFonts w:eastAsia="Times New Roman" w:cs="Times New Roman"/>
          <w:b/>
          <w:bCs/>
          <w:szCs w:val="24"/>
          <w:lang w:eastAsia="es-CO"/>
        </w:rPr>
        <w:t>.</w:t>
      </w:r>
      <w:r w:rsidRPr="00745F8D">
        <w:rPr>
          <w:rFonts w:eastAsia="Times New Roman" w:cs="Times New Roman"/>
          <w:szCs w:val="24"/>
          <w:lang w:eastAsia="es-CO"/>
        </w:rPr>
        <w:t> </w:t>
      </w:r>
      <w:r w:rsidRPr="00745F8D">
        <w:rPr>
          <w:rFonts w:eastAsia="Times New Roman" w:cs="Times New Roman"/>
          <w:i/>
          <w:iCs/>
          <w:szCs w:val="24"/>
          <w:lang w:eastAsia="es-CO"/>
        </w:rPr>
        <w:t>Para todos los efectos, se entiende por empresa, toda unidad de explotación económica, realizada por persona natural o jurídica, en actividades agropecuarias, industriales, comerciales o de servicios, en el área rural o urbana. Para la clasificación por tamaño empresarial, entiéndase micro, pequeña, mediana y gran empresa, se podrá utilizar uno o varios de los siguientes criterios:</w:t>
      </w:r>
    </w:p>
    <w:p w14:paraId="4C32F999"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i/>
          <w:iCs/>
          <w:szCs w:val="24"/>
          <w:lang w:eastAsia="es-CO"/>
        </w:rPr>
        <w:t> </w:t>
      </w:r>
    </w:p>
    <w:p w14:paraId="5A9E4C28" w14:textId="77777777" w:rsidR="00745F8D" w:rsidRPr="00381821" w:rsidRDefault="00745F8D" w:rsidP="00381821">
      <w:pPr>
        <w:spacing w:after="0" w:line="360" w:lineRule="auto"/>
        <w:ind w:left="180"/>
        <w:jc w:val="both"/>
        <w:rPr>
          <w:rFonts w:eastAsia="Times New Roman" w:cs="Times New Roman"/>
          <w:b/>
          <w:bCs/>
          <w:szCs w:val="24"/>
          <w:lang w:eastAsia="es-CO"/>
        </w:rPr>
      </w:pPr>
      <w:r w:rsidRPr="00381821">
        <w:rPr>
          <w:rFonts w:eastAsia="Times New Roman" w:cs="Times New Roman"/>
          <w:b/>
          <w:bCs/>
          <w:i/>
          <w:iCs/>
          <w:szCs w:val="24"/>
          <w:lang w:eastAsia="es-CO"/>
        </w:rPr>
        <w:t>1. Número de trabajadores totales.</w:t>
      </w:r>
    </w:p>
    <w:p w14:paraId="4108A517" w14:textId="77777777" w:rsidR="00381821" w:rsidRDefault="00381821" w:rsidP="00381821">
      <w:pPr>
        <w:spacing w:after="0" w:line="360" w:lineRule="auto"/>
        <w:ind w:left="180"/>
        <w:jc w:val="both"/>
        <w:rPr>
          <w:rFonts w:eastAsia="Times New Roman" w:cs="Times New Roman"/>
          <w:b/>
          <w:bCs/>
          <w:i/>
          <w:iCs/>
          <w:szCs w:val="24"/>
          <w:lang w:eastAsia="es-CO"/>
        </w:rPr>
      </w:pPr>
    </w:p>
    <w:p w14:paraId="05DC71C0" w14:textId="3516A6C5" w:rsidR="00745F8D" w:rsidRPr="00381821" w:rsidRDefault="00745F8D" w:rsidP="00381821">
      <w:pPr>
        <w:spacing w:after="0" w:line="360" w:lineRule="auto"/>
        <w:ind w:left="180"/>
        <w:jc w:val="both"/>
        <w:rPr>
          <w:rFonts w:eastAsia="Times New Roman" w:cs="Times New Roman"/>
          <w:b/>
          <w:bCs/>
          <w:szCs w:val="24"/>
          <w:lang w:eastAsia="es-CO"/>
        </w:rPr>
      </w:pPr>
      <w:r w:rsidRPr="00381821">
        <w:rPr>
          <w:rFonts w:eastAsia="Times New Roman" w:cs="Times New Roman"/>
          <w:b/>
          <w:bCs/>
          <w:i/>
          <w:iCs/>
          <w:szCs w:val="24"/>
          <w:lang w:eastAsia="es-CO"/>
        </w:rPr>
        <w:t>2. Valor de ventas brutas anuales.</w:t>
      </w:r>
    </w:p>
    <w:p w14:paraId="65BA91AA" w14:textId="77777777" w:rsidR="00381821" w:rsidRDefault="00381821" w:rsidP="00381821">
      <w:pPr>
        <w:spacing w:after="0" w:line="360" w:lineRule="auto"/>
        <w:ind w:left="180"/>
        <w:jc w:val="both"/>
        <w:rPr>
          <w:rFonts w:eastAsia="Times New Roman" w:cs="Times New Roman"/>
          <w:b/>
          <w:bCs/>
          <w:i/>
          <w:iCs/>
          <w:szCs w:val="24"/>
          <w:lang w:eastAsia="es-CO"/>
        </w:rPr>
      </w:pPr>
    </w:p>
    <w:p w14:paraId="750496B5" w14:textId="03B22ED0" w:rsidR="00745F8D" w:rsidRPr="00381821" w:rsidRDefault="00745F8D" w:rsidP="00381821">
      <w:pPr>
        <w:spacing w:after="0" w:line="360" w:lineRule="auto"/>
        <w:ind w:left="180"/>
        <w:jc w:val="both"/>
        <w:rPr>
          <w:rFonts w:eastAsia="Times New Roman" w:cs="Times New Roman"/>
          <w:b/>
          <w:bCs/>
          <w:szCs w:val="24"/>
          <w:lang w:eastAsia="es-CO"/>
        </w:rPr>
      </w:pPr>
      <w:r w:rsidRPr="00381821">
        <w:rPr>
          <w:rFonts w:eastAsia="Times New Roman" w:cs="Times New Roman"/>
          <w:b/>
          <w:bCs/>
          <w:i/>
          <w:iCs/>
          <w:szCs w:val="24"/>
          <w:lang w:eastAsia="es-CO"/>
        </w:rPr>
        <w:t>3. Valor activos totales.</w:t>
      </w:r>
    </w:p>
    <w:p w14:paraId="4C16944A"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i/>
          <w:iCs/>
          <w:szCs w:val="24"/>
          <w:lang w:eastAsia="es-CO"/>
        </w:rPr>
        <w:t> </w:t>
      </w:r>
    </w:p>
    <w:p w14:paraId="1943C283"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i/>
          <w:iCs/>
          <w:szCs w:val="24"/>
          <w:lang w:eastAsia="es-CO"/>
        </w:rPr>
        <w:t>Para efectos de los beneficios otorgados por el Gobierno Nacional a las micro, pequeñas y medianas empresas el criterio determinante será el valor de ventas brutas anuales.</w:t>
      </w:r>
    </w:p>
    <w:p w14:paraId="5789D715"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i/>
          <w:iCs/>
          <w:szCs w:val="24"/>
          <w:lang w:eastAsia="es-CO"/>
        </w:rPr>
        <w:lastRenderedPageBreak/>
        <w:t> </w:t>
      </w:r>
    </w:p>
    <w:p w14:paraId="5E0D2302"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i/>
          <w:iCs/>
          <w:szCs w:val="24"/>
          <w:lang w:eastAsia="es-CO"/>
        </w:rPr>
        <w:t>Parágrafo 1°.</w:t>
      </w:r>
      <w:r w:rsidRPr="00745F8D">
        <w:rPr>
          <w:rFonts w:eastAsia="Times New Roman" w:cs="Times New Roman"/>
          <w:i/>
          <w:iCs/>
          <w:szCs w:val="24"/>
          <w:lang w:eastAsia="es-CO"/>
        </w:rPr>
        <w:t> El Gobierno Nacional reglamentará los rangos que aplicarán para los tres criterios e incluirá especificidades sectoriales en los casos que considere necesario.</w:t>
      </w:r>
    </w:p>
    <w:p w14:paraId="3904F086"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i/>
          <w:iCs/>
          <w:szCs w:val="24"/>
          <w:lang w:eastAsia="es-CO"/>
        </w:rPr>
        <w:t> </w:t>
      </w:r>
    </w:p>
    <w:p w14:paraId="0D8C14A2"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i/>
          <w:iCs/>
          <w:szCs w:val="24"/>
          <w:lang w:eastAsia="es-CO"/>
        </w:rPr>
        <w:t>Parágrafo 2°.</w:t>
      </w:r>
      <w:r w:rsidRPr="00745F8D">
        <w:rPr>
          <w:rFonts w:eastAsia="Times New Roman" w:cs="Times New Roman"/>
          <w:i/>
          <w:iCs/>
          <w:szCs w:val="24"/>
          <w:lang w:eastAsia="es-CO"/>
        </w:rPr>
        <w:t> Las definiciones contenidas en el artículo 2° de la Ley 590 de 2000 continuarán vigentes hasta tanto entren a regir las normas reglamentarias que profiera el Gobierno Nacional en desarrollo de lo previsto en el presente artículo</w:t>
      </w:r>
      <w:r w:rsidRPr="00745F8D">
        <w:rPr>
          <w:rFonts w:eastAsia="Times New Roman" w:cs="Times New Roman"/>
          <w:szCs w:val="24"/>
          <w:lang w:eastAsia="es-CO"/>
        </w:rPr>
        <w:t>”.</w:t>
      </w:r>
    </w:p>
    <w:p w14:paraId="5200370F"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6D4D1ABB"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Que entonces por facultad expresa, el Gobierno Nacional tiene competencia para reglamentar los rangos que aplican para establecer los criterios señalados por la ley, e igualmente para incluir especificidades sectoriales en aquellos casos en que así lo considere.</w:t>
      </w:r>
    </w:p>
    <w:p w14:paraId="4207616F"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3031AF93"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Que con la finalidad de determinar los rangos aplicables, el Ministerio de Comercio, Industria y Turismo, tomando como base la información estadística que administra el Departamento Administrativo Nacional de Estadística (DANE), adelantó estudios relativos al comportamiento de las empresas, según la información sectorial (manufactura, comercio y servicios), respecto de las variables de empleo, activos e ingresos, con el objeto de establecer los rangos apropiados para determinar cada tamaño empresarial.</w:t>
      </w:r>
    </w:p>
    <w:p w14:paraId="7D29627B"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37B3FED9"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Que producto del ejercicio realizado por el Ministerio de Comercio, Industria y Turismo, se ha concluido que el criterio de ventas brutas anuales ofrece mayores ventajas respecto de los otros criterios analizados, a efectos de establecer el tamaño de una empresa en Colombia en la medida en la cual provee mejor información acerca del tamaño de la operación de la empresa. Así mismo, el criterio de ventas brutas anuales resulta más pertinente para dar cuenta de las diferencias entre sectores económicos y minimiza los incentivos a distorsiones en el reporte de información.</w:t>
      </w:r>
    </w:p>
    <w:p w14:paraId="0F448F8B"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544390A0"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Que de conformidad con los nuevos marcos de información financiera emitidos en Colombia en desarrollo de la Ley 1314 de 2009, el concepto de ventas brutas se asimila al concepto de ingresos por actividades ordinarias, según se expone en la parte resolutiva del presente decreto.</w:t>
      </w:r>
    </w:p>
    <w:p w14:paraId="3F102EC1"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6ADE79C7"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Que en el presente decreto deben fijarse los rangos que permitan determinar el tamaño de las empresas, de manera que se puedan establecer diferencias entre los sectores de la economía a los que pertenecen, para lograr así que los umbrales establecidos resulten en la práctica eficientes y claros.</w:t>
      </w:r>
    </w:p>
    <w:p w14:paraId="73F2B50F"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411904B3"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lastRenderedPageBreak/>
        <w:t>Que de acuerdo con lo establecido en el artículo 8° la Ley 1437 de 2011, Código de Procedimiento Administrativo y de lo Contencioso Administrativo, el proyecto de decreto fue sometido a consulta pública nacional desde el 7 al 22 de mayo de 2018, en el sitio web del Ministerio de Comercio, Industria y Turismo, con el fin de recibir comentarios y observaciones por parte de los interesados.</w:t>
      </w:r>
    </w:p>
    <w:p w14:paraId="77D6116E"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6A6790F6"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En mérito de lo expuesto,</w:t>
      </w:r>
    </w:p>
    <w:p w14:paraId="22310BB4" w14:textId="77777777" w:rsidR="00745F8D" w:rsidRPr="00745F8D" w:rsidRDefault="00745F8D" w:rsidP="00381821">
      <w:pPr>
        <w:spacing w:after="0" w:line="360" w:lineRule="auto"/>
        <w:jc w:val="center"/>
        <w:rPr>
          <w:rFonts w:eastAsia="Times New Roman" w:cs="Times New Roman"/>
          <w:szCs w:val="24"/>
          <w:lang w:eastAsia="es-CO"/>
        </w:rPr>
      </w:pPr>
      <w:r w:rsidRPr="00745F8D">
        <w:rPr>
          <w:rFonts w:eastAsia="Times New Roman" w:cs="Times New Roman"/>
          <w:szCs w:val="24"/>
          <w:lang w:eastAsia="es-CO"/>
        </w:rPr>
        <w:t> </w:t>
      </w:r>
    </w:p>
    <w:p w14:paraId="4E9AC62A" w14:textId="77777777" w:rsidR="00745F8D" w:rsidRPr="00745F8D" w:rsidRDefault="00745F8D" w:rsidP="00381821">
      <w:pPr>
        <w:spacing w:after="0" w:line="360" w:lineRule="auto"/>
        <w:jc w:val="center"/>
        <w:rPr>
          <w:rFonts w:eastAsia="Times New Roman" w:cs="Times New Roman"/>
          <w:szCs w:val="24"/>
          <w:lang w:eastAsia="es-CO"/>
        </w:rPr>
      </w:pPr>
      <w:r w:rsidRPr="00745F8D">
        <w:rPr>
          <w:rFonts w:eastAsia="Times New Roman" w:cs="Times New Roman"/>
          <w:szCs w:val="24"/>
          <w:lang w:eastAsia="es-CO"/>
        </w:rPr>
        <w:t> </w:t>
      </w:r>
    </w:p>
    <w:p w14:paraId="22B127EE" w14:textId="77777777" w:rsidR="00745F8D" w:rsidRPr="00745F8D" w:rsidRDefault="00745F8D" w:rsidP="00381821">
      <w:pPr>
        <w:spacing w:after="0" w:line="360" w:lineRule="auto"/>
        <w:jc w:val="center"/>
        <w:rPr>
          <w:rFonts w:eastAsia="Times New Roman" w:cs="Times New Roman"/>
          <w:szCs w:val="24"/>
          <w:lang w:eastAsia="es-CO"/>
        </w:rPr>
      </w:pPr>
      <w:r w:rsidRPr="00745F8D">
        <w:rPr>
          <w:rFonts w:eastAsia="Times New Roman" w:cs="Times New Roman"/>
          <w:b/>
          <w:bCs/>
          <w:szCs w:val="24"/>
          <w:lang w:eastAsia="es-CO"/>
        </w:rPr>
        <w:t>DECRETA:</w:t>
      </w:r>
    </w:p>
    <w:p w14:paraId="015593CE"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b/>
          <w:bCs/>
          <w:szCs w:val="24"/>
          <w:lang w:eastAsia="es-CO"/>
        </w:rPr>
        <w:t> </w:t>
      </w:r>
    </w:p>
    <w:p w14:paraId="4B13FE1B"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b/>
          <w:bCs/>
          <w:szCs w:val="24"/>
          <w:lang w:eastAsia="es-CO"/>
        </w:rPr>
        <w:t>Artículo 1°.</w:t>
      </w:r>
      <w:r w:rsidRPr="00745F8D">
        <w:rPr>
          <w:rFonts w:eastAsia="Times New Roman" w:cs="Times New Roman"/>
          <w:szCs w:val="24"/>
          <w:lang w:eastAsia="es-CO"/>
        </w:rPr>
        <w:t> Adiciónese el Capítulo 13 al Título 1 de la Parte 2 del Libro 2 del Decreto número 1074 de 2015, Decreto Único Reglamentario del Sector Comercio, Industria y Turismo, el cual quedará así:</w:t>
      </w:r>
    </w:p>
    <w:p w14:paraId="59083B75"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szCs w:val="24"/>
          <w:lang w:eastAsia="es-CO"/>
        </w:rPr>
        <w:t> </w:t>
      </w:r>
    </w:p>
    <w:p w14:paraId="2BDDE128"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b/>
          <w:bCs/>
          <w:szCs w:val="24"/>
          <w:lang w:eastAsia="es-CO"/>
        </w:rPr>
        <w:t>CAPÍTULO 13</w:t>
      </w:r>
    </w:p>
    <w:p w14:paraId="7A13735A"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b/>
          <w:bCs/>
          <w:szCs w:val="24"/>
          <w:lang w:eastAsia="es-CO"/>
        </w:rPr>
        <w:t>Criterios de clasificación de las micro, pequeñas, medianas y grandes empresas</w:t>
      </w:r>
    </w:p>
    <w:p w14:paraId="573D29E5"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b/>
          <w:bCs/>
          <w:szCs w:val="24"/>
          <w:lang w:eastAsia="es-CO"/>
        </w:rPr>
        <w:t> </w:t>
      </w:r>
    </w:p>
    <w:p w14:paraId="607D2D1A"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b/>
          <w:bCs/>
          <w:szCs w:val="24"/>
          <w:lang w:eastAsia="es-CO"/>
        </w:rPr>
        <w:t>SECCIÓN 1</w:t>
      </w:r>
    </w:p>
    <w:p w14:paraId="3D382266"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b/>
          <w:bCs/>
          <w:szCs w:val="24"/>
          <w:lang w:eastAsia="es-CO"/>
        </w:rPr>
        <w:t>Disposiciones generales</w:t>
      </w:r>
    </w:p>
    <w:p w14:paraId="2D8C88BC"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14:paraId="03665A6F"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Artículo 2.2.1.13.1.1. </w:t>
      </w:r>
      <w:r w:rsidRPr="00745F8D">
        <w:rPr>
          <w:rFonts w:eastAsia="Times New Roman" w:cs="Times New Roman"/>
          <w:b/>
          <w:bCs/>
          <w:i/>
          <w:iCs/>
          <w:szCs w:val="24"/>
          <w:lang w:eastAsia="es-CO"/>
        </w:rPr>
        <w:t>Objeto</w:t>
      </w:r>
      <w:r w:rsidRPr="00745F8D">
        <w:rPr>
          <w:rFonts w:eastAsia="Times New Roman" w:cs="Times New Roman"/>
          <w:b/>
          <w:bCs/>
          <w:szCs w:val="24"/>
          <w:lang w:eastAsia="es-CO"/>
        </w:rPr>
        <w:t>. </w:t>
      </w:r>
      <w:r w:rsidRPr="00745F8D">
        <w:rPr>
          <w:rFonts w:eastAsia="Times New Roman" w:cs="Times New Roman"/>
          <w:szCs w:val="24"/>
          <w:lang w:eastAsia="es-CO"/>
        </w:rPr>
        <w:t>El presente Capítulo tiene por objeto reglamentar la clasificación de las micro, pequeñas, medianas y grandes empresas, teniendo en cuenta para ello el criterio de ventas brutas, asimilado al de ingresos por actividades ordinarias anuales, acorde con lo previsto en el artículo 2° de la Ley 590 de 2000, modificado por el 43 de la Ley 1450 de 2011.</w:t>
      </w:r>
    </w:p>
    <w:p w14:paraId="08A80867"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14:paraId="3157141C"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Artículo 2.2.1.13.1.2. </w:t>
      </w:r>
      <w:r w:rsidRPr="00745F8D">
        <w:rPr>
          <w:rFonts w:eastAsia="Times New Roman" w:cs="Times New Roman"/>
          <w:b/>
          <w:bCs/>
          <w:i/>
          <w:iCs/>
          <w:szCs w:val="24"/>
          <w:lang w:eastAsia="es-CO"/>
        </w:rPr>
        <w:t>Ámbito de aplicación</w:t>
      </w:r>
      <w:r w:rsidRPr="00745F8D">
        <w:rPr>
          <w:rFonts w:eastAsia="Times New Roman" w:cs="Times New Roman"/>
          <w:i/>
          <w:iCs/>
          <w:szCs w:val="24"/>
          <w:lang w:eastAsia="es-CO"/>
        </w:rPr>
        <w:t>. </w:t>
      </w:r>
      <w:r w:rsidRPr="00745F8D">
        <w:rPr>
          <w:rFonts w:eastAsia="Times New Roman" w:cs="Times New Roman"/>
          <w:szCs w:val="24"/>
          <w:lang w:eastAsia="es-CO"/>
        </w:rPr>
        <w:t>Salvo en lo dispuesto en los parágrafos de este artículo, el presente Capítulo se aplicará a toda clasificación de las micro, pequeñas, medianas y grandes empresas.</w:t>
      </w:r>
    </w:p>
    <w:p w14:paraId="74AB54F4"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6BE70C39"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Parágrafo 1°.</w:t>
      </w:r>
      <w:r w:rsidRPr="00745F8D">
        <w:rPr>
          <w:rFonts w:eastAsia="Times New Roman" w:cs="Times New Roman"/>
          <w:szCs w:val="24"/>
          <w:lang w:eastAsia="es-CO"/>
        </w:rPr>
        <w:t> Lo establecido en el presente Capítulo no será aplicable para la procedencia de beneficios fiscales o tributarios, a menos que se establezca lo contrario en el beneficio fiscal o tributario específico.</w:t>
      </w:r>
    </w:p>
    <w:p w14:paraId="19CCE304"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642DD11D"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Parágrafo 2°.</w:t>
      </w:r>
      <w:r w:rsidRPr="00745F8D">
        <w:rPr>
          <w:rFonts w:eastAsia="Times New Roman" w:cs="Times New Roman"/>
          <w:szCs w:val="24"/>
          <w:lang w:eastAsia="es-CO"/>
        </w:rPr>
        <w:t> Lo dispuesto en el presente Capítulo no será aplicable a aquellos casos específicos en los que la ley haya establecido criterios de aplicación diferentes.</w:t>
      </w:r>
    </w:p>
    <w:p w14:paraId="4CBC3C5F"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6C64E57F"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lastRenderedPageBreak/>
        <w:t>Parágrafo 3°.</w:t>
      </w:r>
      <w:r w:rsidRPr="00745F8D">
        <w:rPr>
          <w:rFonts w:eastAsia="Times New Roman" w:cs="Times New Roman"/>
          <w:szCs w:val="24"/>
          <w:lang w:eastAsia="es-CO"/>
        </w:rPr>
        <w:t> Las entidades públicas deberán programar dentro de su presupuesto asignado para cada vigencia los recursos destinados a la atención de los beneficios a los que tengan derecho las micro, pequeñas y medianas empresas. Dichos recursos deberán guardar coherencia con las cifras del Marco de Gasto de Mediano Plazo y el Marco Fiscal de Mediano Plazo vigentes.</w:t>
      </w:r>
    </w:p>
    <w:p w14:paraId="75C522EF"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szCs w:val="24"/>
          <w:lang w:eastAsia="es-CO"/>
        </w:rPr>
        <w:t> </w:t>
      </w:r>
    </w:p>
    <w:p w14:paraId="26DA16F3"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b/>
          <w:bCs/>
          <w:szCs w:val="24"/>
          <w:lang w:eastAsia="es-CO"/>
        </w:rPr>
        <w:t>SECCIÓN 2</w:t>
      </w:r>
    </w:p>
    <w:p w14:paraId="17AF1FF4"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b/>
          <w:bCs/>
          <w:szCs w:val="24"/>
          <w:lang w:eastAsia="es-CO"/>
        </w:rPr>
        <w:t>Clasificación del tamaño empresarial</w:t>
      </w:r>
    </w:p>
    <w:p w14:paraId="3469858B"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14:paraId="4F34FE49"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Artículo 2.2.1.13.2.1. </w:t>
      </w:r>
      <w:r w:rsidRPr="00745F8D">
        <w:rPr>
          <w:rFonts w:eastAsia="Times New Roman" w:cs="Times New Roman"/>
          <w:b/>
          <w:bCs/>
          <w:i/>
          <w:iCs/>
          <w:szCs w:val="24"/>
          <w:lang w:eastAsia="es-CO"/>
        </w:rPr>
        <w:t>Criterio para la clasificación del tamaño empresarial</w:t>
      </w:r>
      <w:r w:rsidRPr="00745F8D">
        <w:rPr>
          <w:rFonts w:eastAsia="Times New Roman" w:cs="Times New Roman"/>
          <w:b/>
          <w:bCs/>
          <w:szCs w:val="24"/>
          <w:lang w:eastAsia="es-CO"/>
        </w:rPr>
        <w:t>. </w:t>
      </w:r>
      <w:r w:rsidRPr="00745F8D">
        <w:rPr>
          <w:rFonts w:eastAsia="Times New Roman" w:cs="Times New Roman"/>
          <w:szCs w:val="24"/>
          <w:lang w:eastAsia="es-CO"/>
        </w:rPr>
        <w:t>Para efectos de la clasificación del tamaño empresarial se tendrá como criterio exclusivo los ingresos por actividades ordinarias anuales de la respectiva empresa.</w:t>
      </w:r>
    </w:p>
    <w:p w14:paraId="3F0C19BA"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4E43BAED"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El nivel de ingresos por actividades ordinarias anuales con base en el cual se determina el tamaño empresarial variará dependiendo del sector económico en el cual la empresa desarrolle su actividad.</w:t>
      </w:r>
    </w:p>
    <w:p w14:paraId="17670572"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14:paraId="664896BE"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Artículo 2.2.1.13.2.2. </w:t>
      </w:r>
      <w:r w:rsidRPr="00745F8D">
        <w:rPr>
          <w:rFonts w:eastAsia="Times New Roman" w:cs="Times New Roman"/>
          <w:b/>
          <w:bCs/>
          <w:i/>
          <w:iCs/>
          <w:szCs w:val="24"/>
          <w:lang w:eastAsia="es-CO"/>
        </w:rPr>
        <w:t>Rangos para la definición del tamaño empresarial</w:t>
      </w:r>
      <w:r w:rsidRPr="00745F8D">
        <w:rPr>
          <w:rFonts w:eastAsia="Times New Roman" w:cs="Times New Roman"/>
          <w:b/>
          <w:bCs/>
          <w:szCs w:val="24"/>
          <w:lang w:eastAsia="es-CO"/>
        </w:rPr>
        <w:t>. </w:t>
      </w:r>
      <w:r w:rsidRPr="00745F8D">
        <w:rPr>
          <w:rFonts w:eastAsia="Times New Roman" w:cs="Times New Roman"/>
          <w:szCs w:val="24"/>
          <w:lang w:eastAsia="es-CO"/>
        </w:rPr>
        <w:t>Para efectos de la clasificación del tamaño empresarial se utilizarán, con base en el criterio previsto en el artículo anterior, los siguientes rangos para determinar el valor de los ingresos por actividades ordinarias anuales de acuerdo con el sector económico de que se trate:</w:t>
      </w:r>
    </w:p>
    <w:p w14:paraId="09CBD6EF"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6C01557B" w14:textId="77777777" w:rsidR="00745F8D" w:rsidRPr="002F5EDC" w:rsidRDefault="00745F8D" w:rsidP="00381821">
      <w:pPr>
        <w:spacing w:after="0" w:line="360" w:lineRule="auto"/>
        <w:ind w:left="180"/>
        <w:jc w:val="both"/>
        <w:rPr>
          <w:rFonts w:eastAsia="Times New Roman" w:cs="Times New Roman"/>
          <w:sz w:val="32"/>
          <w:szCs w:val="32"/>
          <w:lang w:eastAsia="es-CO"/>
        </w:rPr>
      </w:pPr>
      <w:r w:rsidRPr="002F5EDC">
        <w:rPr>
          <w:rFonts w:eastAsia="Times New Roman" w:cs="Times New Roman"/>
          <w:b/>
          <w:bCs/>
          <w:sz w:val="32"/>
          <w:szCs w:val="32"/>
          <w:highlight w:val="green"/>
          <w:lang w:eastAsia="es-CO"/>
        </w:rPr>
        <w:t>1. Para el sector manufacturero:</w:t>
      </w:r>
    </w:p>
    <w:p w14:paraId="0A39348A"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b/>
          <w:bCs/>
          <w:szCs w:val="24"/>
          <w:lang w:eastAsia="es-CO"/>
        </w:rPr>
        <w:t> </w:t>
      </w:r>
    </w:p>
    <w:p w14:paraId="4FA1587D" w14:textId="77777777" w:rsidR="00745F8D" w:rsidRPr="00330CE8" w:rsidRDefault="00745F8D" w:rsidP="00381821">
      <w:pPr>
        <w:spacing w:after="0" w:line="360" w:lineRule="auto"/>
        <w:ind w:left="180"/>
        <w:jc w:val="both"/>
        <w:rPr>
          <w:rFonts w:eastAsia="Times New Roman" w:cs="Times New Roman"/>
          <w:szCs w:val="24"/>
          <w:lang w:eastAsia="es-CO"/>
        </w:rPr>
      </w:pPr>
      <w:r w:rsidRPr="002F5EDC">
        <w:rPr>
          <w:rFonts w:eastAsia="Times New Roman" w:cs="Times New Roman"/>
          <w:b/>
          <w:bCs/>
          <w:sz w:val="32"/>
          <w:szCs w:val="32"/>
          <w:lang w:eastAsia="es-CO"/>
        </w:rPr>
        <w:t>- Microempresa</w:t>
      </w:r>
      <w:r w:rsidRPr="00330CE8">
        <w:rPr>
          <w:rFonts w:eastAsia="Times New Roman" w:cs="Times New Roman"/>
          <w:b/>
          <w:bCs/>
          <w:szCs w:val="24"/>
          <w:lang w:eastAsia="es-CO"/>
        </w:rPr>
        <w:t>.</w:t>
      </w:r>
      <w:r w:rsidRPr="00330CE8">
        <w:rPr>
          <w:rFonts w:eastAsia="Times New Roman" w:cs="Times New Roman"/>
          <w:szCs w:val="24"/>
          <w:lang w:eastAsia="es-CO"/>
        </w:rPr>
        <w:t> Aquella cuyos ingresos por actividades ordinarias anuales sean inferiores o iguales a veintitrés mil quinientos sesenta y tres Unidades de Valor Tributario (23.563 UVT).</w:t>
      </w:r>
    </w:p>
    <w:p w14:paraId="7BCCA2C0" w14:textId="77777777" w:rsidR="0066544E" w:rsidRPr="00330CE8" w:rsidRDefault="0066544E" w:rsidP="00381821">
      <w:pPr>
        <w:spacing w:after="0" w:line="360" w:lineRule="auto"/>
        <w:ind w:left="180"/>
        <w:jc w:val="both"/>
        <w:rPr>
          <w:rFonts w:eastAsia="Times New Roman" w:cs="Times New Roman"/>
          <w:b/>
          <w:bCs/>
          <w:szCs w:val="24"/>
          <w:lang w:eastAsia="es-CO"/>
        </w:rPr>
      </w:pPr>
    </w:p>
    <w:p w14:paraId="748C9CCD" w14:textId="77777777" w:rsidR="00745F8D" w:rsidRPr="00330CE8" w:rsidRDefault="00745F8D" w:rsidP="00381821">
      <w:pPr>
        <w:spacing w:after="0" w:line="360" w:lineRule="auto"/>
        <w:ind w:left="180"/>
        <w:jc w:val="both"/>
        <w:rPr>
          <w:rFonts w:eastAsia="Times New Roman" w:cs="Times New Roman"/>
          <w:b/>
          <w:bCs/>
          <w:szCs w:val="24"/>
          <w:lang w:eastAsia="es-CO"/>
        </w:rPr>
      </w:pPr>
      <w:r w:rsidRPr="002F5EDC">
        <w:rPr>
          <w:rFonts w:eastAsia="Times New Roman" w:cs="Times New Roman"/>
          <w:b/>
          <w:bCs/>
          <w:sz w:val="32"/>
          <w:szCs w:val="32"/>
          <w:lang w:eastAsia="es-CO"/>
        </w:rPr>
        <w:t>- Pequeña empresa</w:t>
      </w:r>
      <w:r w:rsidRPr="00330CE8">
        <w:rPr>
          <w:rFonts w:eastAsia="Times New Roman" w:cs="Times New Roman"/>
          <w:b/>
          <w:bCs/>
          <w:szCs w:val="24"/>
          <w:lang w:eastAsia="es-CO"/>
        </w:rPr>
        <w:t>. </w:t>
      </w:r>
      <w:r w:rsidRPr="00330CE8">
        <w:rPr>
          <w:rFonts w:eastAsia="Times New Roman" w:cs="Times New Roman"/>
          <w:szCs w:val="24"/>
          <w:lang w:eastAsia="es-CO"/>
        </w:rPr>
        <w:t xml:space="preserve">Aquella cuyos ingresos por actividades ordinarias anuales sean superiores a veintitrés mil quinientos sesenta y tres Unidades de Valor Tributario </w:t>
      </w:r>
      <w:r w:rsidRPr="00330CE8">
        <w:rPr>
          <w:rFonts w:eastAsia="Times New Roman" w:cs="Times New Roman"/>
          <w:b/>
          <w:bCs/>
          <w:szCs w:val="24"/>
          <w:lang w:eastAsia="es-CO"/>
        </w:rPr>
        <w:t xml:space="preserve">(23.563 UVT) </w:t>
      </w:r>
      <w:r w:rsidRPr="00330CE8">
        <w:rPr>
          <w:rFonts w:eastAsia="Times New Roman" w:cs="Times New Roman"/>
          <w:szCs w:val="24"/>
          <w:lang w:eastAsia="es-CO"/>
        </w:rPr>
        <w:t>e inferiores o iguales a doscientos cuatro mil novecientos noventa y cinco Unidades de Valor Tributario (</w:t>
      </w:r>
      <w:r w:rsidRPr="00330CE8">
        <w:rPr>
          <w:rFonts w:eastAsia="Times New Roman" w:cs="Times New Roman"/>
          <w:b/>
          <w:bCs/>
          <w:szCs w:val="24"/>
          <w:lang w:eastAsia="es-CO"/>
        </w:rPr>
        <w:t>204.995 UVT).</w:t>
      </w:r>
    </w:p>
    <w:p w14:paraId="51686AD1" w14:textId="77777777" w:rsidR="0066544E" w:rsidRPr="00330CE8" w:rsidRDefault="0066544E" w:rsidP="00381821">
      <w:pPr>
        <w:spacing w:after="0" w:line="360" w:lineRule="auto"/>
        <w:ind w:left="180"/>
        <w:jc w:val="both"/>
        <w:rPr>
          <w:rFonts w:eastAsia="Times New Roman" w:cs="Times New Roman"/>
          <w:b/>
          <w:bCs/>
          <w:szCs w:val="24"/>
          <w:lang w:eastAsia="es-CO"/>
        </w:rPr>
      </w:pPr>
    </w:p>
    <w:p w14:paraId="2DD6C7FE" w14:textId="77777777" w:rsidR="00745F8D" w:rsidRPr="00330CE8" w:rsidRDefault="00745F8D" w:rsidP="00381821">
      <w:pPr>
        <w:spacing w:after="0" w:line="360" w:lineRule="auto"/>
        <w:ind w:left="180"/>
        <w:jc w:val="both"/>
        <w:rPr>
          <w:rFonts w:eastAsia="Times New Roman" w:cs="Times New Roman"/>
          <w:szCs w:val="24"/>
          <w:lang w:eastAsia="es-CO"/>
        </w:rPr>
      </w:pPr>
      <w:r w:rsidRPr="002F5EDC">
        <w:rPr>
          <w:rFonts w:eastAsia="Times New Roman" w:cs="Times New Roman"/>
          <w:b/>
          <w:bCs/>
          <w:sz w:val="32"/>
          <w:szCs w:val="32"/>
          <w:lang w:eastAsia="es-CO"/>
        </w:rPr>
        <w:t>- Mediana empresa</w:t>
      </w:r>
      <w:r w:rsidRPr="00330CE8">
        <w:rPr>
          <w:rFonts w:eastAsia="Times New Roman" w:cs="Times New Roman"/>
          <w:b/>
          <w:bCs/>
          <w:szCs w:val="24"/>
          <w:lang w:eastAsia="es-CO"/>
        </w:rPr>
        <w:t>. </w:t>
      </w:r>
      <w:r w:rsidRPr="00330CE8">
        <w:rPr>
          <w:rFonts w:eastAsia="Times New Roman" w:cs="Times New Roman"/>
          <w:szCs w:val="24"/>
          <w:lang w:eastAsia="es-CO"/>
        </w:rPr>
        <w:t>Aquella cuyos ingresos por actividades ordinarias anuales sean superiores a doscientos cuatro mil novecientos noventa y cinco Unidades de Valor Tributario (204.995 UVT) e inferiores o iguales a un millón setecientos treinta y seis mil quinientos sesenta y cinco Unidades de Valor Tributario (1.736.565 UVT).</w:t>
      </w:r>
    </w:p>
    <w:p w14:paraId="23C31C9D"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lastRenderedPageBreak/>
        <w:t> </w:t>
      </w:r>
    </w:p>
    <w:p w14:paraId="0F2D7580" w14:textId="77777777" w:rsidR="00745F8D" w:rsidRPr="002F5EDC" w:rsidRDefault="00745F8D" w:rsidP="00381821">
      <w:pPr>
        <w:spacing w:after="0" w:line="360" w:lineRule="auto"/>
        <w:ind w:left="180"/>
        <w:jc w:val="both"/>
        <w:rPr>
          <w:rFonts w:eastAsia="Times New Roman" w:cs="Times New Roman"/>
          <w:sz w:val="32"/>
          <w:szCs w:val="32"/>
          <w:lang w:eastAsia="es-CO"/>
        </w:rPr>
      </w:pPr>
      <w:r w:rsidRPr="002F5EDC">
        <w:rPr>
          <w:rFonts w:eastAsia="Times New Roman" w:cs="Times New Roman"/>
          <w:b/>
          <w:bCs/>
          <w:sz w:val="32"/>
          <w:szCs w:val="32"/>
          <w:highlight w:val="green"/>
          <w:lang w:eastAsia="es-CO"/>
        </w:rPr>
        <w:t>2. Para el sector servicios:</w:t>
      </w:r>
    </w:p>
    <w:p w14:paraId="5E016765"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b/>
          <w:bCs/>
          <w:szCs w:val="24"/>
          <w:lang w:eastAsia="es-CO"/>
        </w:rPr>
        <w:t> </w:t>
      </w:r>
    </w:p>
    <w:p w14:paraId="76E87ADC" w14:textId="77777777" w:rsidR="00745F8D" w:rsidRPr="00330CE8" w:rsidRDefault="00745F8D" w:rsidP="00381821">
      <w:pPr>
        <w:spacing w:after="0" w:line="360" w:lineRule="auto"/>
        <w:ind w:left="180"/>
        <w:jc w:val="both"/>
        <w:rPr>
          <w:rFonts w:eastAsia="Times New Roman" w:cs="Times New Roman"/>
          <w:szCs w:val="24"/>
          <w:lang w:eastAsia="es-CO"/>
        </w:rPr>
      </w:pPr>
      <w:r w:rsidRPr="002F5EDC">
        <w:rPr>
          <w:rFonts w:eastAsia="Times New Roman" w:cs="Times New Roman"/>
          <w:b/>
          <w:bCs/>
          <w:sz w:val="32"/>
          <w:szCs w:val="32"/>
          <w:lang w:eastAsia="es-CO"/>
        </w:rPr>
        <w:t>- Microempresa</w:t>
      </w:r>
      <w:r w:rsidRPr="00330CE8">
        <w:rPr>
          <w:rFonts w:eastAsia="Times New Roman" w:cs="Times New Roman"/>
          <w:b/>
          <w:bCs/>
          <w:szCs w:val="24"/>
          <w:lang w:eastAsia="es-CO"/>
        </w:rPr>
        <w:t>.</w:t>
      </w:r>
      <w:r w:rsidRPr="00330CE8">
        <w:rPr>
          <w:rFonts w:eastAsia="Times New Roman" w:cs="Times New Roman"/>
          <w:szCs w:val="24"/>
          <w:lang w:eastAsia="es-CO"/>
        </w:rPr>
        <w:t> Aquella cuyos ingresos por actividades ordinarias anuales sean inferiores o iguales a treinta y dos mil novecientos ochenta y ocho Unidades de Valor Tributario (32.988 UVT).</w:t>
      </w:r>
    </w:p>
    <w:p w14:paraId="4FBE3CB6" w14:textId="77777777" w:rsidR="0066544E" w:rsidRPr="00330CE8" w:rsidRDefault="0066544E" w:rsidP="00381821">
      <w:pPr>
        <w:spacing w:after="0" w:line="360" w:lineRule="auto"/>
        <w:ind w:left="180"/>
        <w:jc w:val="both"/>
        <w:rPr>
          <w:rFonts w:eastAsia="Times New Roman" w:cs="Times New Roman"/>
          <w:szCs w:val="24"/>
          <w:lang w:eastAsia="es-CO"/>
        </w:rPr>
      </w:pPr>
    </w:p>
    <w:p w14:paraId="502BF672" w14:textId="77777777" w:rsidR="00745F8D" w:rsidRPr="00330CE8" w:rsidRDefault="00745F8D" w:rsidP="00381821">
      <w:pPr>
        <w:spacing w:after="0" w:line="360" w:lineRule="auto"/>
        <w:ind w:left="180"/>
        <w:jc w:val="both"/>
        <w:rPr>
          <w:rFonts w:eastAsia="Times New Roman" w:cs="Times New Roman"/>
          <w:szCs w:val="24"/>
          <w:lang w:eastAsia="es-CO"/>
        </w:rPr>
      </w:pPr>
      <w:r w:rsidRPr="002F5EDC">
        <w:rPr>
          <w:rFonts w:eastAsia="Times New Roman" w:cs="Times New Roman"/>
          <w:b/>
          <w:bCs/>
          <w:sz w:val="32"/>
          <w:szCs w:val="32"/>
          <w:lang w:eastAsia="es-CO"/>
        </w:rPr>
        <w:t>- Pequeña empresa</w:t>
      </w:r>
      <w:r w:rsidRPr="00330CE8">
        <w:rPr>
          <w:rFonts w:eastAsia="Times New Roman" w:cs="Times New Roman"/>
          <w:b/>
          <w:bCs/>
          <w:szCs w:val="24"/>
          <w:lang w:eastAsia="es-CO"/>
        </w:rPr>
        <w:t>. </w:t>
      </w:r>
      <w:r w:rsidRPr="00330CE8">
        <w:rPr>
          <w:rFonts w:eastAsia="Times New Roman" w:cs="Times New Roman"/>
          <w:szCs w:val="24"/>
          <w:lang w:eastAsia="es-CO"/>
        </w:rPr>
        <w:t>Aquella cuyos ingresos por actividades ordinarias anuales sean superiores a treinta y dos mil novecientos ochenta y ocho Unidades de Valor Tributario (32.988 UVT) e inferiores o iguales a ciento treinta y un mil novecientos cincuenta y uno Unidades de Valor Tributario (131.951 UVT).</w:t>
      </w:r>
    </w:p>
    <w:p w14:paraId="419A5592" w14:textId="77777777" w:rsidR="0066544E" w:rsidRPr="00330CE8" w:rsidRDefault="0066544E" w:rsidP="00381821">
      <w:pPr>
        <w:spacing w:after="0" w:line="360" w:lineRule="auto"/>
        <w:ind w:left="180"/>
        <w:jc w:val="both"/>
        <w:rPr>
          <w:rFonts w:eastAsia="Times New Roman" w:cs="Times New Roman"/>
          <w:szCs w:val="24"/>
          <w:lang w:eastAsia="es-CO"/>
        </w:rPr>
      </w:pPr>
    </w:p>
    <w:p w14:paraId="58D199EE" w14:textId="77777777" w:rsidR="00745F8D" w:rsidRPr="00330CE8" w:rsidRDefault="00745F8D" w:rsidP="00381821">
      <w:pPr>
        <w:spacing w:after="0" w:line="360" w:lineRule="auto"/>
        <w:ind w:left="180"/>
        <w:jc w:val="both"/>
        <w:rPr>
          <w:rFonts w:eastAsia="Times New Roman" w:cs="Times New Roman"/>
          <w:szCs w:val="24"/>
          <w:lang w:eastAsia="es-CO"/>
        </w:rPr>
      </w:pPr>
      <w:r w:rsidRPr="002F5EDC">
        <w:rPr>
          <w:rFonts w:eastAsia="Times New Roman" w:cs="Times New Roman"/>
          <w:b/>
          <w:bCs/>
          <w:sz w:val="32"/>
          <w:szCs w:val="32"/>
          <w:lang w:eastAsia="es-CO"/>
        </w:rPr>
        <w:t>- Mediana empresa</w:t>
      </w:r>
      <w:r w:rsidRPr="00330CE8">
        <w:rPr>
          <w:rFonts w:eastAsia="Times New Roman" w:cs="Times New Roman"/>
          <w:b/>
          <w:bCs/>
          <w:szCs w:val="24"/>
          <w:lang w:eastAsia="es-CO"/>
        </w:rPr>
        <w:t>. </w:t>
      </w:r>
      <w:r w:rsidRPr="00330CE8">
        <w:rPr>
          <w:rFonts w:eastAsia="Times New Roman" w:cs="Times New Roman"/>
          <w:szCs w:val="24"/>
          <w:lang w:eastAsia="es-CO"/>
        </w:rPr>
        <w:t>Aquella cuyos ingresos por actividades ordinarias anuales sean superiores a ciento treinta y un mil novecientos cincuenta y un Unidades de Valor Tributario (131.951 UVT) e inferiores o iguales a cuatrocientos ochenta y tres mil treinta y cuatro Unidades de Valor Tributario (483.034 UVT).</w:t>
      </w:r>
    </w:p>
    <w:p w14:paraId="7C0B1BC5"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t> </w:t>
      </w:r>
    </w:p>
    <w:p w14:paraId="51354C60" w14:textId="77777777" w:rsidR="00745F8D" w:rsidRPr="00330CE8" w:rsidRDefault="00745F8D" w:rsidP="00381821">
      <w:pPr>
        <w:spacing w:after="0" w:line="360" w:lineRule="auto"/>
        <w:ind w:left="180"/>
        <w:jc w:val="both"/>
        <w:rPr>
          <w:rFonts w:eastAsia="Times New Roman" w:cs="Times New Roman"/>
          <w:sz w:val="32"/>
          <w:szCs w:val="32"/>
          <w:lang w:eastAsia="es-CO"/>
        </w:rPr>
      </w:pPr>
      <w:r w:rsidRPr="00330CE8">
        <w:rPr>
          <w:rFonts w:eastAsia="Times New Roman" w:cs="Times New Roman"/>
          <w:b/>
          <w:bCs/>
          <w:sz w:val="32"/>
          <w:szCs w:val="32"/>
          <w:highlight w:val="green"/>
          <w:lang w:eastAsia="es-CO"/>
        </w:rPr>
        <w:t>3. Para el sector de comercio:</w:t>
      </w:r>
    </w:p>
    <w:p w14:paraId="04BFE9CD"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b/>
          <w:bCs/>
          <w:szCs w:val="24"/>
          <w:lang w:eastAsia="es-CO"/>
        </w:rPr>
        <w:t> </w:t>
      </w:r>
    </w:p>
    <w:p w14:paraId="517918AA" w14:textId="77777777" w:rsidR="00745F8D" w:rsidRPr="00330CE8" w:rsidRDefault="00745F8D" w:rsidP="00381821">
      <w:pPr>
        <w:spacing w:after="0" w:line="360" w:lineRule="auto"/>
        <w:ind w:left="180"/>
        <w:jc w:val="both"/>
        <w:rPr>
          <w:rFonts w:eastAsia="Times New Roman" w:cs="Times New Roman"/>
          <w:szCs w:val="24"/>
          <w:lang w:eastAsia="es-CO"/>
        </w:rPr>
      </w:pPr>
      <w:r w:rsidRPr="002F5EDC">
        <w:rPr>
          <w:rFonts w:eastAsia="Times New Roman" w:cs="Times New Roman"/>
          <w:b/>
          <w:bCs/>
          <w:sz w:val="32"/>
          <w:szCs w:val="32"/>
          <w:lang w:eastAsia="es-CO"/>
        </w:rPr>
        <w:t>- Microempresa</w:t>
      </w:r>
      <w:r w:rsidRPr="00330CE8">
        <w:rPr>
          <w:rFonts w:eastAsia="Times New Roman" w:cs="Times New Roman"/>
          <w:b/>
          <w:bCs/>
          <w:szCs w:val="24"/>
          <w:lang w:eastAsia="es-CO"/>
        </w:rPr>
        <w:t>.</w:t>
      </w:r>
      <w:r w:rsidRPr="00330CE8">
        <w:rPr>
          <w:rFonts w:eastAsia="Times New Roman" w:cs="Times New Roman"/>
          <w:szCs w:val="24"/>
          <w:lang w:eastAsia="es-CO"/>
        </w:rPr>
        <w:t> Aquella cuyos ingresos por actividades ordinarias anuales sean inferiores o iguales a cuarenta y cuatro mil setecientos sesenta y nueve Unidades de Valor Tributario (44.769 UVT).</w:t>
      </w:r>
    </w:p>
    <w:p w14:paraId="2DB41EA1" w14:textId="77777777" w:rsidR="0066544E" w:rsidRPr="00330CE8" w:rsidRDefault="0066544E" w:rsidP="00381821">
      <w:pPr>
        <w:spacing w:after="0" w:line="360" w:lineRule="auto"/>
        <w:ind w:left="180"/>
        <w:jc w:val="both"/>
        <w:rPr>
          <w:rFonts w:eastAsia="Times New Roman" w:cs="Times New Roman"/>
          <w:szCs w:val="24"/>
          <w:lang w:eastAsia="es-CO"/>
        </w:rPr>
      </w:pPr>
    </w:p>
    <w:p w14:paraId="7207DD67" w14:textId="77777777" w:rsidR="00745F8D" w:rsidRPr="00330CE8" w:rsidRDefault="00745F8D" w:rsidP="00381821">
      <w:pPr>
        <w:spacing w:after="0" w:line="360" w:lineRule="auto"/>
        <w:ind w:left="180"/>
        <w:jc w:val="both"/>
        <w:rPr>
          <w:rFonts w:eastAsia="Times New Roman" w:cs="Times New Roman"/>
          <w:szCs w:val="24"/>
          <w:lang w:eastAsia="es-CO"/>
        </w:rPr>
      </w:pPr>
      <w:r w:rsidRPr="002F5EDC">
        <w:rPr>
          <w:rFonts w:eastAsia="Times New Roman" w:cs="Times New Roman"/>
          <w:b/>
          <w:bCs/>
          <w:sz w:val="32"/>
          <w:szCs w:val="32"/>
          <w:lang w:eastAsia="es-CO"/>
        </w:rPr>
        <w:t>- Pequeña empresa</w:t>
      </w:r>
      <w:r w:rsidRPr="00330CE8">
        <w:rPr>
          <w:rFonts w:eastAsia="Times New Roman" w:cs="Times New Roman"/>
          <w:b/>
          <w:bCs/>
          <w:szCs w:val="24"/>
          <w:lang w:eastAsia="es-CO"/>
        </w:rPr>
        <w:t>. </w:t>
      </w:r>
      <w:r w:rsidRPr="00330CE8">
        <w:rPr>
          <w:rFonts w:eastAsia="Times New Roman" w:cs="Times New Roman"/>
          <w:szCs w:val="24"/>
          <w:lang w:eastAsia="es-CO"/>
        </w:rPr>
        <w:t>Aquella cuyos ingresos por actividades ordinarias anuales sean superiores a cuarenta y cuatro mil setecientos sesenta y nueve Unidades de Valor Tributario (44.769 UVT) e inferiores o iguales a</w:t>
      </w:r>
      <w:r w:rsidR="0066544E" w:rsidRPr="00330CE8">
        <w:rPr>
          <w:rFonts w:eastAsia="Times New Roman" w:cs="Times New Roman"/>
          <w:szCs w:val="24"/>
          <w:lang w:eastAsia="es-CO"/>
        </w:rPr>
        <w:t xml:space="preserve"> cuatrocientos treinta y un mil </w:t>
      </w:r>
      <w:r w:rsidRPr="00330CE8">
        <w:rPr>
          <w:rFonts w:eastAsia="Times New Roman" w:cs="Times New Roman"/>
          <w:szCs w:val="24"/>
          <w:lang w:eastAsia="es-CO"/>
        </w:rPr>
        <w:t>ciento noventa y seis Unidades de Valor Tributario (431.196 UVT).</w:t>
      </w:r>
    </w:p>
    <w:p w14:paraId="32C5AD3B" w14:textId="77777777" w:rsidR="0066544E" w:rsidRPr="00330CE8" w:rsidRDefault="0066544E" w:rsidP="00381821">
      <w:pPr>
        <w:spacing w:after="0" w:line="360" w:lineRule="auto"/>
        <w:ind w:left="180"/>
        <w:jc w:val="both"/>
        <w:rPr>
          <w:rFonts w:eastAsia="Times New Roman" w:cs="Times New Roman"/>
          <w:szCs w:val="24"/>
          <w:lang w:eastAsia="es-CO"/>
        </w:rPr>
      </w:pPr>
    </w:p>
    <w:p w14:paraId="6493912A" w14:textId="77777777" w:rsidR="00745F8D" w:rsidRPr="00330CE8" w:rsidRDefault="00745F8D" w:rsidP="00381821">
      <w:pPr>
        <w:spacing w:after="0" w:line="360" w:lineRule="auto"/>
        <w:ind w:left="180"/>
        <w:jc w:val="both"/>
        <w:rPr>
          <w:rFonts w:eastAsia="Times New Roman" w:cs="Times New Roman"/>
          <w:szCs w:val="24"/>
          <w:lang w:eastAsia="es-CO"/>
        </w:rPr>
      </w:pPr>
      <w:r w:rsidRPr="002F5EDC">
        <w:rPr>
          <w:rFonts w:eastAsia="Times New Roman" w:cs="Times New Roman"/>
          <w:b/>
          <w:bCs/>
          <w:sz w:val="32"/>
          <w:szCs w:val="32"/>
          <w:lang w:eastAsia="es-CO"/>
        </w:rPr>
        <w:t>- Mediana empresa</w:t>
      </w:r>
      <w:r w:rsidRPr="00330CE8">
        <w:rPr>
          <w:rFonts w:eastAsia="Times New Roman" w:cs="Times New Roman"/>
          <w:b/>
          <w:bCs/>
          <w:szCs w:val="24"/>
          <w:lang w:eastAsia="es-CO"/>
        </w:rPr>
        <w:t>. </w:t>
      </w:r>
      <w:r w:rsidRPr="00330CE8">
        <w:rPr>
          <w:rFonts w:eastAsia="Times New Roman" w:cs="Times New Roman"/>
          <w:szCs w:val="24"/>
          <w:lang w:eastAsia="es-CO"/>
        </w:rPr>
        <w:t>Aquella cuyos ingresos por actividades ordinarias anuales sean superiores a</w:t>
      </w:r>
      <w:r w:rsidR="0066544E" w:rsidRPr="00330CE8">
        <w:rPr>
          <w:rFonts w:eastAsia="Times New Roman" w:cs="Times New Roman"/>
          <w:szCs w:val="24"/>
          <w:lang w:eastAsia="es-CO"/>
        </w:rPr>
        <w:t xml:space="preserve"> cuatrocientos treinta y un mil </w:t>
      </w:r>
      <w:r w:rsidRPr="00330CE8">
        <w:rPr>
          <w:rFonts w:eastAsia="Times New Roman" w:cs="Times New Roman"/>
          <w:szCs w:val="24"/>
          <w:lang w:eastAsia="es-CO"/>
        </w:rPr>
        <w:t>ciento noventa y seis Unidades de Valor Tributario (431.196 UVT) e inferiores o iguales a dos millones ciento sesenta mil seiscientos noventa y dos Unidades de Valor Tributario (2’160.692 UVT).</w:t>
      </w:r>
    </w:p>
    <w:p w14:paraId="0C34E535"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t> </w:t>
      </w:r>
    </w:p>
    <w:p w14:paraId="6449D9C6"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b/>
          <w:bCs/>
          <w:szCs w:val="24"/>
          <w:lang w:eastAsia="es-CO"/>
        </w:rPr>
        <w:t>Parágrafo 1°.</w:t>
      </w:r>
      <w:r w:rsidRPr="00330CE8">
        <w:rPr>
          <w:rFonts w:eastAsia="Times New Roman" w:cs="Times New Roman"/>
          <w:szCs w:val="24"/>
          <w:lang w:eastAsia="es-CO"/>
        </w:rPr>
        <w:t> Se considera gran empresa aquella que tiene ingresos por actividades ordinarias anuales mayores al rango superior de las medianas empresas, en cada uno de los sectores económicos descritos anteriormente.</w:t>
      </w:r>
    </w:p>
    <w:p w14:paraId="003471A0"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lastRenderedPageBreak/>
        <w:t> </w:t>
      </w:r>
    </w:p>
    <w:p w14:paraId="76F7C1CA"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b/>
          <w:bCs/>
          <w:szCs w:val="24"/>
          <w:lang w:eastAsia="es-CO"/>
        </w:rPr>
        <w:t>Parágrafo 2°.</w:t>
      </w:r>
      <w:r w:rsidRPr="00330CE8">
        <w:rPr>
          <w:rFonts w:eastAsia="Times New Roman" w:cs="Times New Roman"/>
          <w:szCs w:val="24"/>
          <w:lang w:eastAsia="es-CO"/>
        </w:rPr>
        <w:t> Para aquella empresa cuya actividad principal no corresponda exclusivamente a uno de los anteriores sectores, los rangos a aplicar serán aquellos previstos para el sector manufacturero.</w:t>
      </w:r>
    </w:p>
    <w:p w14:paraId="19D26B35"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t> </w:t>
      </w:r>
    </w:p>
    <w:p w14:paraId="386785AE" w14:textId="77777777" w:rsidR="00745F8D" w:rsidRPr="00330CE8" w:rsidRDefault="00745F8D" w:rsidP="00381821">
      <w:pPr>
        <w:spacing w:after="0" w:line="360" w:lineRule="auto"/>
        <w:ind w:left="180"/>
        <w:jc w:val="both"/>
        <w:rPr>
          <w:rFonts w:eastAsia="Times New Roman" w:cs="Times New Roman"/>
          <w:b/>
          <w:bCs/>
          <w:sz w:val="32"/>
          <w:szCs w:val="32"/>
          <w:lang w:eastAsia="es-CO"/>
        </w:rPr>
      </w:pPr>
      <w:r w:rsidRPr="00330CE8">
        <w:rPr>
          <w:rFonts w:eastAsia="Times New Roman" w:cs="Times New Roman"/>
          <w:b/>
          <w:bCs/>
          <w:sz w:val="32"/>
          <w:szCs w:val="32"/>
          <w:highlight w:val="green"/>
          <w:lang w:eastAsia="es-CO"/>
        </w:rPr>
        <w:t>Parágrafo 3°.</w:t>
      </w:r>
      <w:r w:rsidRPr="00330CE8">
        <w:rPr>
          <w:rFonts w:eastAsia="Times New Roman" w:cs="Times New Roman"/>
          <w:sz w:val="32"/>
          <w:szCs w:val="32"/>
          <w:highlight w:val="green"/>
          <w:lang w:eastAsia="es-CO"/>
        </w:rPr>
        <w:t> Cuando los ingresos de la empresa provengan de más de uno de los sectores contemplados en el presente Capítulo, se considerará la actividad del sector económico cuyos ingresos hayan sido más altos.</w:t>
      </w:r>
    </w:p>
    <w:p w14:paraId="76802B3D"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t> </w:t>
      </w:r>
    </w:p>
    <w:p w14:paraId="2E07CADB"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b/>
          <w:bCs/>
          <w:szCs w:val="24"/>
          <w:lang w:eastAsia="es-CO"/>
        </w:rPr>
        <w:t>Parágrafo 4°.</w:t>
      </w:r>
      <w:r w:rsidRPr="00330CE8">
        <w:rPr>
          <w:rFonts w:eastAsia="Times New Roman" w:cs="Times New Roman"/>
          <w:szCs w:val="24"/>
          <w:lang w:eastAsia="es-CO"/>
        </w:rPr>
        <w:t> El Ministerio de Comercio, Industria y Turismo, en conjunto con el Departamento Nacional de Estadística (DANE), a la fecha de la entrada en vigencia del presente Capítulo establecerá, mediante acto administrativo, el anexo técnico de correspondencia de los tres sectores, manufactura, comercio y servicios con la Clasificación de las Actividades Económicas (CIIU) Revisión 4.</w:t>
      </w:r>
    </w:p>
    <w:p w14:paraId="7BFE0B99"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b/>
          <w:bCs/>
          <w:szCs w:val="24"/>
          <w:lang w:eastAsia="es-CO"/>
        </w:rPr>
        <w:t> </w:t>
      </w:r>
    </w:p>
    <w:p w14:paraId="5C0FD6D4" w14:textId="77777777" w:rsidR="00745F8D" w:rsidRPr="00330CE8" w:rsidRDefault="00745F8D" w:rsidP="00381821">
      <w:pPr>
        <w:spacing w:after="0" w:line="360" w:lineRule="auto"/>
        <w:ind w:left="180"/>
        <w:jc w:val="both"/>
        <w:rPr>
          <w:rFonts w:eastAsia="Times New Roman" w:cs="Times New Roman"/>
          <w:b/>
          <w:bCs/>
          <w:sz w:val="32"/>
          <w:szCs w:val="32"/>
          <w:highlight w:val="green"/>
          <w:lang w:eastAsia="es-CO"/>
        </w:rPr>
      </w:pPr>
      <w:r w:rsidRPr="00330CE8">
        <w:rPr>
          <w:rFonts w:eastAsia="Times New Roman" w:cs="Times New Roman"/>
          <w:b/>
          <w:bCs/>
          <w:sz w:val="32"/>
          <w:szCs w:val="32"/>
          <w:highlight w:val="green"/>
          <w:lang w:eastAsia="es-CO"/>
        </w:rPr>
        <w:t>Artículo 2.2.1.13.2.3. Definición de ingresos por actividades ordinarias</w:t>
      </w:r>
      <w:r w:rsidR="0066544E" w:rsidRPr="00330CE8">
        <w:rPr>
          <w:rFonts w:eastAsia="Times New Roman" w:cs="Times New Roman"/>
          <w:b/>
          <w:bCs/>
          <w:sz w:val="32"/>
          <w:szCs w:val="32"/>
          <w:highlight w:val="green"/>
          <w:lang w:eastAsia="es-CO"/>
        </w:rPr>
        <w:t>.</w:t>
      </w:r>
    </w:p>
    <w:p w14:paraId="66B172BB" w14:textId="77777777" w:rsidR="0066544E" w:rsidRPr="00330CE8" w:rsidRDefault="0066544E" w:rsidP="00381821">
      <w:pPr>
        <w:spacing w:after="0" w:line="360" w:lineRule="auto"/>
        <w:ind w:left="180"/>
        <w:jc w:val="both"/>
        <w:rPr>
          <w:rFonts w:eastAsia="Times New Roman" w:cs="Times New Roman"/>
          <w:sz w:val="32"/>
          <w:szCs w:val="32"/>
          <w:highlight w:val="green"/>
          <w:lang w:eastAsia="es-CO"/>
        </w:rPr>
      </w:pPr>
    </w:p>
    <w:p w14:paraId="408B6978" w14:textId="77777777" w:rsidR="00745F8D" w:rsidRPr="00330CE8" w:rsidRDefault="00745F8D" w:rsidP="00381821">
      <w:pPr>
        <w:spacing w:after="0" w:line="360" w:lineRule="auto"/>
        <w:ind w:left="180"/>
        <w:jc w:val="both"/>
        <w:rPr>
          <w:rFonts w:eastAsia="Times New Roman" w:cs="Times New Roman"/>
          <w:sz w:val="32"/>
          <w:szCs w:val="32"/>
          <w:lang w:eastAsia="es-CO"/>
        </w:rPr>
      </w:pPr>
      <w:r w:rsidRPr="00330CE8">
        <w:rPr>
          <w:rFonts w:eastAsia="Times New Roman" w:cs="Times New Roman"/>
          <w:sz w:val="32"/>
          <w:szCs w:val="32"/>
          <w:highlight w:val="green"/>
          <w:lang w:eastAsia="es-CO"/>
        </w:rPr>
        <w:t xml:space="preserve">Para efectos de la clasificación de que trata el presente Capítulo, se entenderá que el concepto de ventas brutas anuales se asimila al de </w:t>
      </w:r>
      <w:r w:rsidRPr="00330CE8">
        <w:rPr>
          <w:rFonts w:eastAsia="Times New Roman" w:cs="Times New Roman"/>
          <w:b/>
          <w:bCs/>
          <w:sz w:val="32"/>
          <w:szCs w:val="32"/>
          <w:highlight w:val="green"/>
          <w:lang w:eastAsia="es-CO"/>
        </w:rPr>
        <w:t>ingresos por actividades ordinarias</w:t>
      </w:r>
      <w:r w:rsidRPr="00330CE8">
        <w:rPr>
          <w:rFonts w:eastAsia="Times New Roman" w:cs="Times New Roman"/>
          <w:sz w:val="32"/>
          <w:szCs w:val="32"/>
          <w:highlight w:val="green"/>
          <w:lang w:eastAsia="es-CO"/>
        </w:rPr>
        <w:t>. Los ingresos por actividades ordinarias son aquellos que se originan en el curso de las actividades ordinarias de la empresa, tales como las actividades de operación y otras actividades que no son consideradas como actividades de inversión o financiación, de conformidad con el marco de información financiera aplicado por la empresa.</w:t>
      </w:r>
    </w:p>
    <w:p w14:paraId="3F59EBE6"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t> </w:t>
      </w:r>
    </w:p>
    <w:p w14:paraId="77BB9F15" w14:textId="77777777" w:rsidR="00745F8D" w:rsidRPr="00330CE8" w:rsidRDefault="00745F8D" w:rsidP="00381821">
      <w:pPr>
        <w:spacing w:after="0" w:line="360" w:lineRule="auto"/>
        <w:ind w:left="180"/>
        <w:jc w:val="both"/>
        <w:rPr>
          <w:rFonts w:eastAsia="Times New Roman" w:cs="Times New Roman"/>
          <w:b/>
          <w:bCs/>
          <w:sz w:val="32"/>
          <w:szCs w:val="32"/>
          <w:lang w:eastAsia="es-CO"/>
        </w:rPr>
      </w:pPr>
      <w:r w:rsidRPr="00330CE8">
        <w:rPr>
          <w:rFonts w:eastAsia="Times New Roman" w:cs="Times New Roman"/>
          <w:b/>
          <w:bCs/>
          <w:sz w:val="32"/>
          <w:szCs w:val="32"/>
          <w:highlight w:val="green"/>
          <w:lang w:eastAsia="es-CO"/>
        </w:rPr>
        <w:t xml:space="preserve">Dichos ingresos deberán corresponder a los del año inmediatamente anterior, con corte a 31 de diciembre, a la fecha de presentación de la solicitud de la propuesta o del trámite para </w:t>
      </w:r>
      <w:r w:rsidRPr="00330CE8">
        <w:rPr>
          <w:rFonts w:eastAsia="Times New Roman" w:cs="Times New Roman"/>
          <w:b/>
          <w:bCs/>
          <w:sz w:val="32"/>
          <w:szCs w:val="32"/>
          <w:highlight w:val="green"/>
          <w:lang w:eastAsia="es-CO"/>
        </w:rPr>
        <w:lastRenderedPageBreak/>
        <w:t>el que se quiera hacer valer la clasificación establecida en este Capítulo, verificables de acuerdo con las normas vigentes.</w:t>
      </w:r>
    </w:p>
    <w:p w14:paraId="73D2E23C"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t> </w:t>
      </w:r>
    </w:p>
    <w:p w14:paraId="7C3E1081"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t>Para las empresas que cuenten con menos de un año de existencia, sus ingresos por actividades ordinarias serán los obtenidos durante el tiempo de su operación, con corte al mes inmediatamente anterior a la fecha de presentación de la propuesta o del trámite respectivo.</w:t>
      </w:r>
    </w:p>
    <w:p w14:paraId="740C16AD"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b/>
          <w:bCs/>
          <w:szCs w:val="24"/>
          <w:lang w:eastAsia="es-CO"/>
        </w:rPr>
        <w:t> </w:t>
      </w:r>
    </w:p>
    <w:p w14:paraId="0ECEE7C2"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b/>
          <w:bCs/>
          <w:szCs w:val="24"/>
          <w:lang w:eastAsia="es-CO"/>
        </w:rPr>
        <w:t>Artículo 2.2.1.13.2.4. Acreditación del tamaño empresarial. </w:t>
      </w:r>
      <w:r w:rsidRPr="00330CE8">
        <w:rPr>
          <w:rFonts w:eastAsia="Times New Roman" w:cs="Times New Roman"/>
          <w:szCs w:val="24"/>
          <w:lang w:eastAsia="es-CO"/>
        </w:rPr>
        <w:t>Las empresas deberán acreditar su tamaño empresarial mediante certificación donde conste el valor de los ingresos por actividades ordinarias al 31 de diciembre del año inmediatamente anterior, o los obtenidos durante el tiempo de su operación, de la siguiente forma:</w:t>
      </w:r>
    </w:p>
    <w:p w14:paraId="329DA929"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t> </w:t>
      </w:r>
    </w:p>
    <w:p w14:paraId="656F5FC3"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t>1. Las personas naturales mediante certificación expedida por estas.</w:t>
      </w:r>
    </w:p>
    <w:p w14:paraId="7CB99BD2" w14:textId="77777777" w:rsidR="00CD5C36" w:rsidRPr="00330CE8" w:rsidRDefault="00CD5C36" w:rsidP="00381821">
      <w:pPr>
        <w:spacing w:after="0" w:line="360" w:lineRule="auto"/>
        <w:ind w:left="180"/>
        <w:jc w:val="both"/>
        <w:rPr>
          <w:rFonts w:eastAsia="Times New Roman" w:cs="Times New Roman"/>
          <w:szCs w:val="24"/>
          <w:lang w:eastAsia="es-CO"/>
        </w:rPr>
      </w:pPr>
    </w:p>
    <w:p w14:paraId="779BBB46"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t xml:space="preserve">2. Las personas jurídicas mediante certificación expedida por el representante legal o el </w:t>
      </w:r>
      <w:r w:rsidRPr="00330CE8">
        <w:rPr>
          <w:rFonts w:eastAsia="Times New Roman" w:cs="Times New Roman"/>
          <w:b/>
          <w:bCs/>
          <w:szCs w:val="24"/>
          <w:u w:val="single"/>
          <w:lang w:eastAsia="es-CO"/>
        </w:rPr>
        <w:t>contador o revisor fiscal</w:t>
      </w:r>
      <w:r w:rsidRPr="00330CE8">
        <w:rPr>
          <w:rFonts w:eastAsia="Times New Roman" w:cs="Times New Roman"/>
          <w:szCs w:val="24"/>
          <w:lang w:eastAsia="es-CO"/>
        </w:rPr>
        <w:t>, si están obligadas a tenerlo.</w:t>
      </w:r>
    </w:p>
    <w:p w14:paraId="2C6C7387"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t> </w:t>
      </w:r>
    </w:p>
    <w:p w14:paraId="5798C8B3"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t>Para los anteriores efectos, deberán observarse los rangos de clasificación establecidos en el presente Capítulo.</w:t>
      </w:r>
    </w:p>
    <w:p w14:paraId="1B585FE2"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t> </w:t>
      </w:r>
    </w:p>
    <w:p w14:paraId="28632750"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b/>
          <w:bCs/>
          <w:szCs w:val="24"/>
          <w:lang w:eastAsia="es-CO"/>
        </w:rPr>
        <w:t>Parágrafo. </w:t>
      </w:r>
      <w:r w:rsidRPr="00330CE8">
        <w:rPr>
          <w:rFonts w:eastAsia="Times New Roman" w:cs="Times New Roman"/>
          <w:szCs w:val="24"/>
          <w:lang w:eastAsia="es-CO"/>
        </w:rPr>
        <w:t>Para la aplicación de los incentivos del sistema de compras y contratación pública, la acreditación del tamaño empresarial se efectuará de acuerdo con lo previsto en el artículo 2.2.1.2.4.2.4 del Decreto 1082 de 2015 y demás normas que lo aclaren, modifiquen o adicionen.</w:t>
      </w:r>
    </w:p>
    <w:p w14:paraId="7EE7E31A"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b/>
          <w:bCs/>
          <w:szCs w:val="24"/>
          <w:lang w:eastAsia="es-CO"/>
        </w:rPr>
        <w:t> </w:t>
      </w:r>
    </w:p>
    <w:p w14:paraId="210061BF"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b/>
          <w:bCs/>
          <w:szCs w:val="24"/>
          <w:lang w:eastAsia="es-CO"/>
        </w:rPr>
        <w:t>Artículo 2.2.1.13.2.5. Registro de información de los ingresos por actividades ordinarias. </w:t>
      </w:r>
      <w:r w:rsidRPr="00330CE8">
        <w:rPr>
          <w:rFonts w:eastAsia="Times New Roman" w:cs="Times New Roman"/>
          <w:szCs w:val="24"/>
          <w:lang w:eastAsia="es-CO"/>
        </w:rPr>
        <w:t xml:space="preserve">El valor de los ingresos por actividades ordinarias anuales de las empresas deberá ser reportado de manera obligatoria en el formulario de inscripción y actualización </w:t>
      </w:r>
      <w:r w:rsidRPr="00330CE8">
        <w:rPr>
          <w:rFonts w:eastAsia="Times New Roman" w:cs="Times New Roman"/>
          <w:szCs w:val="24"/>
          <w:u w:val="single"/>
          <w:lang w:eastAsia="es-CO"/>
        </w:rPr>
        <w:t>del Registro Único Empresarial y Social</w:t>
      </w:r>
      <w:r w:rsidRPr="00330CE8">
        <w:rPr>
          <w:rFonts w:eastAsia="Times New Roman" w:cs="Times New Roman"/>
          <w:szCs w:val="24"/>
          <w:lang w:eastAsia="es-CO"/>
        </w:rPr>
        <w:t xml:space="preserve"> (RUES).</w:t>
      </w:r>
    </w:p>
    <w:p w14:paraId="26B29542"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t> </w:t>
      </w:r>
    </w:p>
    <w:p w14:paraId="2C14D9A6"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t>Para estos efectos, se seguirán las instrucciones que imparte la Superintendencia de Industria y Comercio, necesarias para la adecuación de los formularios de inscripción y actualización del Registro Único Empresarial y Social (RUES).</w:t>
      </w:r>
    </w:p>
    <w:p w14:paraId="36EE7286" w14:textId="77777777" w:rsidR="00745F8D" w:rsidRPr="00330CE8" w:rsidRDefault="00745F8D" w:rsidP="00381821">
      <w:pPr>
        <w:spacing w:after="0" w:line="360" w:lineRule="auto"/>
        <w:ind w:left="180"/>
        <w:jc w:val="both"/>
        <w:rPr>
          <w:rFonts w:eastAsia="Times New Roman" w:cs="Times New Roman"/>
          <w:szCs w:val="24"/>
          <w:lang w:eastAsia="es-CO"/>
        </w:rPr>
      </w:pPr>
      <w:r w:rsidRPr="00330CE8">
        <w:rPr>
          <w:rFonts w:eastAsia="Times New Roman" w:cs="Times New Roman"/>
          <w:szCs w:val="24"/>
          <w:lang w:eastAsia="es-CO"/>
        </w:rPr>
        <w:t> </w:t>
      </w:r>
    </w:p>
    <w:p w14:paraId="74AC4183" w14:textId="77777777" w:rsidR="00745F8D" w:rsidRPr="00330CE8" w:rsidRDefault="00745F8D" w:rsidP="00381821">
      <w:pPr>
        <w:spacing w:after="0" w:line="360" w:lineRule="auto"/>
        <w:ind w:left="180"/>
        <w:jc w:val="both"/>
        <w:rPr>
          <w:rFonts w:eastAsia="Times New Roman" w:cs="Times New Roman"/>
          <w:b/>
          <w:bCs/>
          <w:szCs w:val="24"/>
          <w:lang w:eastAsia="es-CO"/>
        </w:rPr>
      </w:pPr>
      <w:r w:rsidRPr="00330CE8">
        <w:rPr>
          <w:rFonts w:eastAsia="Times New Roman" w:cs="Times New Roman"/>
          <w:b/>
          <w:bCs/>
          <w:szCs w:val="24"/>
          <w:lang w:eastAsia="es-CO"/>
        </w:rPr>
        <w:t>Parágrafo. </w:t>
      </w:r>
      <w:r w:rsidRPr="00330CE8">
        <w:rPr>
          <w:rFonts w:eastAsia="Times New Roman" w:cs="Times New Roman"/>
          <w:b/>
          <w:bCs/>
          <w:szCs w:val="24"/>
          <w:u w:val="single"/>
          <w:lang w:eastAsia="es-CO"/>
        </w:rPr>
        <w:t>Las Cámaras de Comercio podrán abstenerse</w:t>
      </w:r>
      <w:r w:rsidRPr="00330CE8">
        <w:rPr>
          <w:rFonts w:eastAsia="Times New Roman" w:cs="Times New Roman"/>
          <w:b/>
          <w:bCs/>
          <w:szCs w:val="24"/>
          <w:lang w:eastAsia="es-CO"/>
        </w:rPr>
        <w:t xml:space="preserve"> de realizar la inscripción de la matrícula mercantil o la renovación en el evento en que la empresa no reporte </w:t>
      </w:r>
      <w:r w:rsidRPr="00330CE8">
        <w:rPr>
          <w:rFonts w:eastAsia="Times New Roman" w:cs="Times New Roman"/>
          <w:b/>
          <w:bCs/>
          <w:szCs w:val="24"/>
          <w:lang w:eastAsia="es-CO"/>
        </w:rPr>
        <w:lastRenderedPageBreak/>
        <w:t>en el formulario RUES los ingresos por actividades ordinarias anuales y la actividad económica.</w:t>
      </w:r>
    </w:p>
    <w:p w14:paraId="0F5A3FB2" w14:textId="77777777" w:rsidR="00745F8D" w:rsidRPr="00330CE8" w:rsidRDefault="00745F8D" w:rsidP="00381821">
      <w:pPr>
        <w:spacing w:after="0" w:line="360" w:lineRule="auto"/>
        <w:jc w:val="both"/>
        <w:rPr>
          <w:rFonts w:eastAsia="Times New Roman" w:cs="Times New Roman"/>
          <w:szCs w:val="24"/>
          <w:lang w:eastAsia="es-CO"/>
        </w:rPr>
      </w:pPr>
      <w:r w:rsidRPr="00330CE8">
        <w:rPr>
          <w:rFonts w:eastAsia="Times New Roman" w:cs="Times New Roman"/>
          <w:szCs w:val="24"/>
          <w:lang w:eastAsia="es-CO"/>
        </w:rPr>
        <w:t> </w:t>
      </w:r>
    </w:p>
    <w:p w14:paraId="144A41F2" w14:textId="77777777" w:rsidR="00745F8D" w:rsidRPr="00330CE8" w:rsidRDefault="00745F8D" w:rsidP="00381821">
      <w:pPr>
        <w:spacing w:after="0" w:line="360" w:lineRule="auto"/>
        <w:jc w:val="both"/>
        <w:rPr>
          <w:rFonts w:eastAsia="Times New Roman" w:cs="Times New Roman"/>
          <w:szCs w:val="24"/>
          <w:lang w:eastAsia="es-CO"/>
        </w:rPr>
      </w:pPr>
      <w:r w:rsidRPr="00330CE8">
        <w:rPr>
          <w:rFonts w:eastAsia="Times New Roman" w:cs="Times New Roman"/>
          <w:b/>
          <w:bCs/>
          <w:szCs w:val="24"/>
          <w:lang w:eastAsia="es-CO"/>
        </w:rPr>
        <w:t>Artículo 2°.</w:t>
      </w:r>
      <w:r w:rsidRPr="00330CE8">
        <w:rPr>
          <w:rFonts w:eastAsia="Times New Roman" w:cs="Times New Roman"/>
          <w:szCs w:val="24"/>
          <w:lang w:eastAsia="es-CO"/>
        </w:rPr>
        <w:t> </w:t>
      </w:r>
      <w:r w:rsidRPr="00330CE8">
        <w:rPr>
          <w:rFonts w:eastAsia="Times New Roman" w:cs="Times New Roman"/>
          <w:i/>
          <w:iCs/>
          <w:szCs w:val="24"/>
          <w:lang w:eastAsia="es-CO"/>
        </w:rPr>
        <w:t>Vigencia</w:t>
      </w:r>
      <w:r w:rsidRPr="00330CE8">
        <w:rPr>
          <w:rFonts w:eastAsia="Times New Roman" w:cs="Times New Roman"/>
          <w:szCs w:val="24"/>
          <w:lang w:eastAsia="es-CO"/>
        </w:rPr>
        <w:t>. El presente decreto rige a partir de los seis (6) meses siguientes a la fecha de su publicación.</w:t>
      </w:r>
    </w:p>
    <w:p w14:paraId="7FD08FD1" w14:textId="77777777" w:rsidR="00745F8D" w:rsidRPr="00330CE8" w:rsidRDefault="00745F8D" w:rsidP="00381821">
      <w:pPr>
        <w:spacing w:after="0" w:line="360" w:lineRule="auto"/>
        <w:jc w:val="both"/>
        <w:rPr>
          <w:rFonts w:eastAsia="Times New Roman" w:cs="Times New Roman"/>
          <w:szCs w:val="24"/>
          <w:lang w:eastAsia="es-CO"/>
        </w:rPr>
      </w:pPr>
      <w:r w:rsidRPr="00330CE8">
        <w:rPr>
          <w:rFonts w:eastAsia="Times New Roman" w:cs="Times New Roman"/>
          <w:szCs w:val="24"/>
          <w:lang w:eastAsia="es-CO"/>
        </w:rPr>
        <w:t> </w:t>
      </w:r>
    </w:p>
    <w:p w14:paraId="7F2A39E3" w14:textId="77777777" w:rsidR="00745F8D" w:rsidRPr="00330CE8" w:rsidRDefault="00745F8D" w:rsidP="00381821">
      <w:pPr>
        <w:spacing w:after="0" w:line="360" w:lineRule="auto"/>
        <w:jc w:val="both"/>
        <w:rPr>
          <w:rFonts w:eastAsia="Times New Roman" w:cs="Times New Roman"/>
          <w:szCs w:val="24"/>
          <w:lang w:eastAsia="es-CO"/>
        </w:rPr>
      </w:pPr>
      <w:r w:rsidRPr="00330CE8">
        <w:rPr>
          <w:rFonts w:eastAsia="Times New Roman" w:cs="Times New Roman"/>
          <w:b/>
          <w:bCs/>
          <w:szCs w:val="24"/>
          <w:lang w:eastAsia="es-CO"/>
        </w:rPr>
        <w:t>Publíquese y cúmplase.</w:t>
      </w:r>
    </w:p>
    <w:p w14:paraId="11FBA823" w14:textId="77777777" w:rsidR="00745F8D" w:rsidRPr="00330CE8" w:rsidRDefault="00745F8D" w:rsidP="00381821">
      <w:pPr>
        <w:spacing w:after="0" w:line="360" w:lineRule="auto"/>
        <w:jc w:val="both"/>
        <w:rPr>
          <w:rFonts w:eastAsia="Times New Roman" w:cs="Times New Roman"/>
          <w:szCs w:val="24"/>
          <w:lang w:eastAsia="es-CO"/>
        </w:rPr>
      </w:pPr>
      <w:r w:rsidRPr="00330CE8">
        <w:rPr>
          <w:rFonts w:eastAsia="Times New Roman" w:cs="Times New Roman"/>
          <w:szCs w:val="24"/>
          <w:lang w:eastAsia="es-CO"/>
        </w:rPr>
        <w:t>Dado en Bogotá, D. C., a 5 de junio de 2019.</w:t>
      </w:r>
    </w:p>
    <w:p w14:paraId="7E6E0520" w14:textId="77777777" w:rsidR="00CD5C36" w:rsidRPr="00745F8D" w:rsidRDefault="00CD5C36" w:rsidP="00381821">
      <w:pPr>
        <w:spacing w:after="0" w:line="360" w:lineRule="auto"/>
        <w:jc w:val="both"/>
        <w:rPr>
          <w:rFonts w:eastAsia="Times New Roman" w:cs="Times New Roman"/>
          <w:szCs w:val="24"/>
          <w:lang w:eastAsia="es-CO"/>
        </w:rPr>
      </w:pPr>
      <w:r w:rsidRPr="00330CE8">
        <w:rPr>
          <w:rFonts w:eastAsia="Times New Roman" w:cs="Times New Roman"/>
          <w:szCs w:val="24"/>
          <w:lang w:eastAsia="es-CO"/>
        </w:rPr>
        <w:t>_________________________________________________________________________</w:t>
      </w:r>
    </w:p>
    <w:p w14:paraId="1B4C8FE9" w14:textId="77777777" w:rsidR="00007D1B" w:rsidRDefault="00007D1B" w:rsidP="00381821">
      <w:pPr>
        <w:spacing w:after="0" w:line="360" w:lineRule="auto"/>
        <w:jc w:val="right"/>
        <w:rPr>
          <w:rFonts w:eastAsia="Times New Roman" w:cs="Times New Roman"/>
          <w:szCs w:val="24"/>
          <w:lang w:eastAsia="es-CO"/>
        </w:rPr>
      </w:pPr>
    </w:p>
    <w:p w14:paraId="3244C6A7" w14:textId="77777777" w:rsidR="00007D1B" w:rsidRDefault="00007D1B" w:rsidP="00381821">
      <w:pPr>
        <w:spacing w:after="0" w:line="360" w:lineRule="auto"/>
        <w:jc w:val="right"/>
        <w:rPr>
          <w:rFonts w:eastAsia="Times New Roman" w:cs="Times New Roman"/>
          <w:szCs w:val="24"/>
          <w:lang w:eastAsia="es-CO"/>
        </w:rPr>
      </w:pPr>
    </w:p>
    <w:p w14:paraId="5DC7A897" w14:textId="3BFF063A" w:rsidR="00745F8D" w:rsidRPr="00351F1E" w:rsidRDefault="00351F1E" w:rsidP="00351F1E">
      <w:pPr>
        <w:spacing w:after="0" w:line="360" w:lineRule="auto"/>
        <w:jc w:val="center"/>
        <w:rPr>
          <w:rFonts w:eastAsia="Times New Roman" w:cs="Times New Roman"/>
          <w:b/>
          <w:bCs/>
          <w:szCs w:val="24"/>
          <w:lang w:eastAsia="es-CO"/>
        </w:rPr>
      </w:pPr>
      <w:r w:rsidRPr="00351F1E">
        <w:rPr>
          <w:rFonts w:eastAsia="Times New Roman" w:cs="Times New Roman"/>
          <w:b/>
          <w:bCs/>
          <w:szCs w:val="24"/>
          <w:lang w:eastAsia="es-CO"/>
        </w:rPr>
        <w:t>CENTRO NACIONAL DE ESTUDIOS TRIBUTARIOS DE COLOMBIA</w:t>
      </w:r>
    </w:p>
    <w:p w14:paraId="4F9B8E62" w14:textId="77777777" w:rsidR="008E31E6" w:rsidRDefault="008E31E6" w:rsidP="00381821">
      <w:pPr>
        <w:spacing w:after="0" w:line="360" w:lineRule="auto"/>
        <w:jc w:val="right"/>
        <w:rPr>
          <w:rFonts w:eastAsia="Times New Roman" w:cs="Times New Roman"/>
          <w:szCs w:val="24"/>
          <w:lang w:eastAsia="es-CO"/>
        </w:rPr>
      </w:pPr>
    </w:p>
    <w:p w14:paraId="1DB2242A" w14:textId="1385B183" w:rsidR="008E31E6" w:rsidRDefault="002F0D45" w:rsidP="00007D1B">
      <w:pPr>
        <w:spacing w:after="0" w:line="360" w:lineRule="auto"/>
        <w:jc w:val="center"/>
        <w:rPr>
          <w:rFonts w:eastAsia="Times New Roman" w:cs="Times New Roman"/>
          <w:b/>
          <w:szCs w:val="24"/>
          <w:lang w:eastAsia="es-CO"/>
        </w:rPr>
      </w:pPr>
      <w:r w:rsidRPr="00007D1B">
        <w:rPr>
          <w:rFonts w:eastAsia="Times New Roman" w:cs="Times New Roman"/>
          <w:b/>
          <w:szCs w:val="24"/>
          <w:highlight w:val="green"/>
          <w:lang w:eastAsia="es-CO"/>
        </w:rPr>
        <w:t>CLASIFICACIÓ</w:t>
      </w:r>
      <w:r w:rsidR="008E31E6" w:rsidRPr="00007D1B">
        <w:rPr>
          <w:rFonts w:eastAsia="Times New Roman" w:cs="Times New Roman"/>
          <w:b/>
          <w:szCs w:val="24"/>
          <w:highlight w:val="green"/>
          <w:lang w:eastAsia="es-CO"/>
        </w:rPr>
        <w:t>N DE LAS EMPRESAS CON BASE EN LOS INGRESOS ORDINARIOS DEL AÑO ANTERIOR.</w:t>
      </w:r>
    </w:p>
    <w:p w14:paraId="7BBD3E51" w14:textId="77777777" w:rsidR="00191530" w:rsidRPr="00A61AE4" w:rsidRDefault="00191530" w:rsidP="00381821">
      <w:pPr>
        <w:spacing w:after="0" w:line="360" w:lineRule="auto"/>
        <w:jc w:val="both"/>
        <w:rPr>
          <w:rFonts w:eastAsia="Times New Roman" w:cs="Times New Roman"/>
          <w:sz w:val="18"/>
          <w:szCs w:val="18"/>
          <w:lang w:eastAsia="es-CO"/>
        </w:rPr>
      </w:pPr>
    </w:p>
    <w:p w14:paraId="260CAD87" w14:textId="56A7CDC9" w:rsidR="00B67929" w:rsidRDefault="00B67929" w:rsidP="00381821">
      <w:pPr>
        <w:spacing w:after="0" w:line="360" w:lineRule="auto"/>
        <w:jc w:val="both"/>
        <w:rPr>
          <w:rFonts w:eastAsia="Times New Roman" w:cs="Times New Roman"/>
          <w:b/>
          <w:szCs w:val="24"/>
          <w:lang w:eastAsia="es-CO"/>
        </w:rPr>
      </w:pPr>
    </w:p>
    <w:p w14:paraId="7E8E8988" w14:textId="690D48AE" w:rsidR="00A61AE4" w:rsidRDefault="00A61AE4" w:rsidP="00381821">
      <w:pPr>
        <w:spacing w:after="0" w:line="360" w:lineRule="auto"/>
        <w:jc w:val="both"/>
        <w:rPr>
          <w:rFonts w:eastAsia="Times New Roman" w:cs="Times New Roman"/>
          <w:b/>
          <w:szCs w:val="24"/>
          <w:lang w:eastAsia="es-CO"/>
        </w:rPr>
      </w:pPr>
      <w:r>
        <w:rPr>
          <w:rFonts w:eastAsia="Times New Roman" w:cs="Times New Roman"/>
          <w:b/>
          <w:szCs w:val="24"/>
          <w:lang w:eastAsia="es-CO"/>
        </w:rPr>
        <w:t>Nota: ingresos del año inmediatamente anterior. (20</w:t>
      </w:r>
      <w:r w:rsidR="00340F49">
        <w:rPr>
          <w:rFonts w:eastAsia="Times New Roman" w:cs="Times New Roman"/>
          <w:b/>
          <w:szCs w:val="24"/>
          <w:lang w:eastAsia="es-CO"/>
        </w:rPr>
        <w:t>20</w:t>
      </w:r>
      <w:r>
        <w:rPr>
          <w:rFonts w:eastAsia="Times New Roman" w:cs="Times New Roman"/>
          <w:b/>
          <w:szCs w:val="24"/>
          <w:lang w:eastAsia="es-CO"/>
        </w:rPr>
        <w:t>). UVT 20</w:t>
      </w:r>
      <w:r w:rsidR="00340F49">
        <w:rPr>
          <w:rFonts w:eastAsia="Times New Roman" w:cs="Times New Roman"/>
          <w:b/>
          <w:szCs w:val="24"/>
          <w:lang w:eastAsia="es-CO"/>
        </w:rPr>
        <w:t>20</w:t>
      </w:r>
      <w:r>
        <w:rPr>
          <w:rFonts w:eastAsia="Times New Roman" w:cs="Times New Roman"/>
          <w:b/>
          <w:szCs w:val="24"/>
          <w:lang w:eastAsia="es-CO"/>
        </w:rPr>
        <w:t>: 3</w:t>
      </w:r>
      <w:r w:rsidR="00340F49">
        <w:rPr>
          <w:rFonts w:eastAsia="Times New Roman" w:cs="Times New Roman"/>
          <w:b/>
          <w:szCs w:val="24"/>
          <w:lang w:eastAsia="es-CO"/>
        </w:rPr>
        <w:t>5.607</w:t>
      </w:r>
      <w:r>
        <w:rPr>
          <w:rFonts w:eastAsia="Times New Roman" w:cs="Times New Roman"/>
          <w:b/>
          <w:szCs w:val="24"/>
          <w:lang w:eastAsia="es-CO"/>
        </w:rPr>
        <w:t>.</w:t>
      </w:r>
    </w:p>
    <w:p w14:paraId="4B659C33" w14:textId="77777777" w:rsidR="00237951" w:rsidRDefault="00237951" w:rsidP="00381821">
      <w:pPr>
        <w:spacing w:after="0" w:line="360" w:lineRule="auto"/>
        <w:jc w:val="both"/>
        <w:rPr>
          <w:rFonts w:eastAsia="Times New Roman" w:cs="Times New Roman"/>
          <w:b/>
          <w:szCs w:val="24"/>
          <w:lang w:eastAsia="es-CO"/>
        </w:rPr>
      </w:pPr>
    </w:p>
    <w:tbl>
      <w:tblPr>
        <w:tblStyle w:val="Tablaconcuadrcula"/>
        <w:tblW w:w="10206" w:type="dxa"/>
        <w:tblInd w:w="-572" w:type="dxa"/>
        <w:tblLook w:val="04A0" w:firstRow="1" w:lastRow="0" w:firstColumn="1" w:lastColumn="0" w:noHBand="0" w:noVBand="1"/>
      </w:tblPr>
      <w:tblGrid>
        <w:gridCol w:w="1123"/>
        <w:gridCol w:w="3312"/>
        <w:gridCol w:w="3108"/>
        <w:gridCol w:w="2663"/>
      </w:tblGrid>
      <w:tr w:rsidR="00A61AE4" w14:paraId="3E98004B" w14:textId="77777777" w:rsidTr="00237951">
        <w:tc>
          <w:tcPr>
            <w:tcW w:w="1056" w:type="dxa"/>
          </w:tcPr>
          <w:p w14:paraId="5C912C27" w14:textId="5F442729" w:rsidR="00A61AE4" w:rsidRPr="00162766" w:rsidRDefault="00A61AE4" w:rsidP="005A6F73">
            <w:pPr>
              <w:spacing w:line="360" w:lineRule="auto"/>
              <w:jc w:val="center"/>
              <w:rPr>
                <w:rFonts w:eastAsia="Times New Roman" w:cs="Times New Roman"/>
                <w:b/>
                <w:szCs w:val="24"/>
                <w:lang w:eastAsia="es-CO"/>
              </w:rPr>
            </w:pPr>
            <w:r w:rsidRPr="00162766">
              <w:rPr>
                <w:rFonts w:eastAsia="Times New Roman" w:cs="Times New Roman"/>
                <w:b/>
                <w:szCs w:val="24"/>
                <w:lang w:eastAsia="es-CO"/>
              </w:rPr>
              <w:t>Tamaño</w:t>
            </w:r>
          </w:p>
        </w:tc>
        <w:tc>
          <w:tcPr>
            <w:tcW w:w="3339" w:type="dxa"/>
          </w:tcPr>
          <w:p w14:paraId="4857C529" w14:textId="44095727" w:rsidR="00A61AE4" w:rsidRPr="00162766" w:rsidRDefault="00A61AE4" w:rsidP="005A6F73">
            <w:pPr>
              <w:spacing w:line="360" w:lineRule="auto"/>
              <w:jc w:val="center"/>
              <w:rPr>
                <w:rFonts w:eastAsia="Times New Roman" w:cs="Times New Roman"/>
                <w:b/>
                <w:szCs w:val="24"/>
                <w:lang w:eastAsia="es-CO"/>
              </w:rPr>
            </w:pPr>
            <w:r w:rsidRPr="00162766">
              <w:rPr>
                <w:rFonts w:eastAsia="Times New Roman" w:cs="Times New Roman"/>
                <w:b/>
                <w:szCs w:val="24"/>
                <w:lang w:eastAsia="es-CO"/>
              </w:rPr>
              <w:t>Manufacturero</w:t>
            </w:r>
          </w:p>
        </w:tc>
        <w:tc>
          <w:tcPr>
            <w:tcW w:w="3132" w:type="dxa"/>
          </w:tcPr>
          <w:p w14:paraId="6A338C6F" w14:textId="549F314D" w:rsidR="00A61AE4" w:rsidRPr="00162766" w:rsidRDefault="00A61AE4" w:rsidP="005A6F73">
            <w:pPr>
              <w:spacing w:line="360" w:lineRule="auto"/>
              <w:jc w:val="center"/>
              <w:rPr>
                <w:rFonts w:eastAsia="Times New Roman" w:cs="Times New Roman"/>
                <w:b/>
                <w:szCs w:val="24"/>
                <w:lang w:eastAsia="es-CO"/>
              </w:rPr>
            </w:pPr>
            <w:r w:rsidRPr="00162766">
              <w:rPr>
                <w:rFonts w:eastAsia="Times New Roman" w:cs="Times New Roman"/>
                <w:b/>
                <w:szCs w:val="24"/>
                <w:lang w:eastAsia="es-CO"/>
              </w:rPr>
              <w:t>Servicios</w:t>
            </w:r>
          </w:p>
        </w:tc>
        <w:tc>
          <w:tcPr>
            <w:tcW w:w="2679" w:type="dxa"/>
          </w:tcPr>
          <w:p w14:paraId="569F76A8" w14:textId="7A3335E7" w:rsidR="00A61AE4" w:rsidRPr="00162766" w:rsidRDefault="00A61AE4" w:rsidP="005A6F73">
            <w:pPr>
              <w:spacing w:line="360" w:lineRule="auto"/>
              <w:jc w:val="center"/>
              <w:rPr>
                <w:rFonts w:eastAsia="Times New Roman" w:cs="Times New Roman"/>
                <w:b/>
                <w:szCs w:val="24"/>
                <w:lang w:eastAsia="es-CO"/>
              </w:rPr>
            </w:pPr>
            <w:r w:rsidRPr="00162766">
              <w:rPr>
                <w:rFonts w:eastAsia="Times New Roman" w:cs="Times New Roman"/>
                <w:b/>
                <w:szCs w:val="24"/>
                <w:lang w:eastAsia="es-CO"/>
              </w:rPr>
              <w:t>Comercio</w:t>
            </w:r>
          </w:p>
        </w:tc>
      </w:tr>
      <w:tr w:rsidR="00A61AE4" w14:paraId="0CD44337" w14:textId="77777777" w:rsidTr="00237951">
        <w:tc>
          <w:tcPr>
            <w:tcW w:w="1056" w:type="dxa"/>
          </w:tcPr>
          <w:p w14:paraId="6A266D83" w14:textId="77777777" w:rsidR="005A6F73" w:rsidRPr="00162766" w:rsidRDefault="005A6F73" w:rsidP="00381821">
            <w:pPr>
              <w:spacing w:line="360" w:lineRule="auto"/>
              <w:jc w:val="both"/>
              <w:rPr>
                <w:rFonts w:eastAsia="Times New Roman" w:cs="Times New Roman"/>
                <w:b/>
                <w:szCs w:val="24"/>
                <w:lang w:eastAsia="es-CO"/>
              </w:rPr>
            </w:pPr>
          </w:p>
          <w:p w14:paraId="68502159" w14:textId="25F2AEBE" w:rsidR="00A61AE4" w:rsidRPr="00162766" w:rsidRDefault="00A61AE4" w:rsidP="00381821">
            <w:pPr>
              <w:spacing w:line="360" w:lineRule="auto"/>
              <w:jc w:val="both"/>
              <w:rPr>
                <w:rFonts w:eastAsia="Times New Roman" w:cs="Times New Roman"/>
                <w:b/>
                <w:szCs w:val="24"/>
                <w:lang w:eastAsia="es-CO"/>
              </w:rPr>
            </w:pPr>
            <w:r w:rsidRPr="00162766">
              <w:rPr>
                <w:rFonts w:eastAsia="Times New Roman" w:cs="Times New Roman"/>
                <w:b/>
                <w:szCs w:val="24"/>
                <w:lang w:eastAsia="es-CO"/>
              </w:rPr>
              <w:t xml:space="preserve">Micro </w:t>
            </w:r>
          </w:p>
        </w:tc>
        <w:tc>
          <w:tcPr>
            <w:tcW w:w="3339" w:type="dxa"/>
          </w:tcPr>
          <w:p w14:paraId="59ED6E99" w14:textId="082C8094" w:rsidR="00A61AE4" w:rsidRPr="00162766" w:rsidRDefault="00A61AE4" w:rsidP="00923D36">
            <w:pPr>
              <w:spacing w:line="360" w:lineRule="auto"/>
              <w:jc w:val="center"/>
              <w:rPr>
                <w:rFonts w:eastAsia="Times New Roman" w:cs="Times New Roman"/>
                <w:bCs/>
                <w:szCs w:val="24"/>
                <w:lang w:eastAsia="es-CO"/>
              </w:rPr>
            </w:pPr>
            <w:r w:rsidRPr="00162766">
              <w:rPr>
                <w:rFonts w:eastAsia="Times New Roman" w:cs="Times New Roman"/>
                <w:bCs/>
                <w:szCs w:val="24"/>
                <w:lang w:eastAsia="es-CO"/>
              </w:rPr>
              <w:t xml:space="preserve">Hasta 23.563 </w:t>
            </w:r>
            <w:proofErr w:type="spellStart"/>
            <w:r w:rsidRPr="00162766">
              <w:rPr>
                <w:rFonts w:eastAsia="Times New Roman" w:cs="Times New Roman"/>
                <w:bCs/>
                <w:szCs w:val="24"/>
                <w:lang w:eastAsia="es-CO"/>
              </w:rPr>
              <w:t>uvt</w:t>
            </w:r>
            <w:proofErr w:type="spellEnd"/>
          </w:p>
          <w:p w14:paraId="651C46F2" w14:textId="632DCB11" w:rsidR="00A61AE4" w:rsidRPr="00162766" w:rsidRDefault="00815047" w:rsidP="005A6F73">
            <w:pPr>
              <w:spacing w:line="360" w:lineRule="auto"/>
              <w:jc w:val="center"/>
              <w:rPr>
                <w:rFonts w:eastAsia="Times New Roman" w:cs="Times New Roman"/>
                <w:bCs/>
                <w:szCs w:val="24"/>
                <w:lang w:eastAsia="es-CO"/>
              </w:rPr>
            </w:pPr>
            <w:r w:rsidRPr="00162766">
              <w:rPr>
                <w:rFonts w:eastAsia="Times New Roman" w:cs="Times New Roman"/>
                <w:bCs/>
                <w:szCs w:val="24"/>
                <w:lang w:eastAsia="es-CO"/>
              </w:rPr>
              <w:t>839.007.741</w:t>
            </w:r>
          </w:p>
        </w:tc>
        <w:tc>
          <w:tcPr>
            <w:tcW w:w="3132" w:type="dxa"/>
          </w:tcPr>
          <w:p w14:paraId="4F0B0AC4" w14:textId="77777777" w:rsidR="00A61AE4" w:rsidRPr="00162766" w:rsidRDefault="00A61AE4" w:rsidP="005A6F73">
            <w:pPr>
              <w:spacing w:line="360" w:lineRule="auto"/>
              <w:jc w:val="center"/>
              <w:rPr>
                <w:rFonts w:eastAsia="Times New Roman" w:cs="Times New Roman"/>
                <w:bCs/>
                <w:szCs w:val="24"/>
                <w:lang w:eastAsia="es-CO"/>
              </w:rPr>
            </w:pPr>
            <w:r w:rsidRPr="00162766">
              <w:rPr>
                <w:rFonts w:eastAsia="Times New Roman" w:cs="Times New Roman"/>
                <w:bCs/>
                <w:szCs w:val="24"/>
                <w:lang w:eastAsia="es-CO"/>
              </w:rPr>
              <w:t xml:space="preserve">Hasta 32.988 </w:t>
            </w:r>
            <w:proofErr w:type="spellStart"/>
            <w:r w:rsidRPr="00162766">
              <w:rPr>
                <w:rFonts w:eastAsia="Times New Roman" w:cs="Times New Roman"/>
                <w:bCs/>
                <w:szCs w:val="24"/>
                <w:lang w:eastAsia="es-CO"/>
              </w:rPr>
              <w:t>uvt</w:t>
            </w:r>
            <w:proofErr w:type="spellEnd"/>
            <w:r w:rsidRPr="00162766">
              <w:rPr>
                <w:rFonts w:eastAsia="Times New Roman" w:cs="Times New Roman"/>
                <w:bCs/>
                <w:szCs w:val="24"/>
                <w:lang w:eastAsia="es-CO"/>
              </w:rPr>
              <w:t xml:space="preserve"> </w:t>
            </w:r>
          </w:p>
          <w:p w14:paraId="08DA962C" w14:textId="05392846" w:rsidR="00815047" w:rsidRPr="00162766" w:rsidRDefault="00815047" w:rsidP="005A6F73">
            <w:pPr>
              <w:spacing w:line="360" w:lineRule="auto"/>
              <w:jc w:val="center"/>
              <w:rPr>
                <w:rFonts w:eastAsia="Times New Roman" w:cs="Times New Roman"/>
                <w:bCs/>
                <w:szCs w:val="24"/>
                <w:lang w:eastAsia="es-CO"/>
              </w:rPr>
            </w:pPr>
            <w:r w:rsidRPr="00162766">
              <w:rPr>
                <w:rFonts w:eastAsia="Times New Roman" w:cs="Times New Roman"/>
                <w:bCs/>
                <w:szCs w:val="24"/>
                <w:lang w:eastAsia="es-CO"/>
              </w:rPr>
              <w:t>1.174.603.716</w:t>
            </w:r>
          </w:p>
        </w:tc>
        <w:tc>
          <w:tcPr>
            <w:tcW w:w="2679" w:type="dxa"/>
          </w:tcPr>
          <w:p w14:paraId="25D9F2FD" w14:textId="2371905E" w:rsidR="00A61AE4" w:rsidRPr="00162766" w:rsidRDefault="00A61AE4" w:rsidP="00381821">
            <w:pPr>
              <w:spacing w:line="360" w:lineRule="auto"/>
              <w:jc w:val="both"/>
              <w:rPr>
                <w:rFonts w:eastAsia="Times New Roman" w:cs="Times New Roman"/>
                <w:bCs/>
                <w:szCs w:val="24"/>
                <w:lang w:eastAsia="es-CO"/>
              </w:rPr>
            </w:pPr>
            <w:r w:rsidRPr="00162766">
              <w:rPr>
                <w:rFonts w:eastAsia="Times New Roman" w:cs="Times New Roman"/>
                <w:bCs/>
                <w:szCs w:val="24"/>
                <w:lang w:eastAsia="es-CO"/>
              </w:rPr>
              <w:t>Hasta 44.</w:t>
            </w:r>
            <w:r w:rsidR="00AB7B6F" w:rsidRPr="00162766">
              <w:rPr>
                <w:rFonts w:eastAsia="Times New Roman" w:cs="Times New Roman"/>
                <w:bCs/>
                <w:szCs w:val="24"/>
                <w:lang w:eastAsia="es-CO"/>
              </w:rPr>
              <w:t>769</w:t>
            </w:r>
            <w:r w:rsidRPr="00162766">
              <w:rPr>
                <w:rFonts w:eastAsia="Times New Roman" w:cs="Times New Roman"/>
                <w:bCs/>
                <w:szCs w:val="24"/>
                <w:lang w:eastAsia="es-CO"/>
              </w:rPr>
              <w:t xml:space="preserve"> </w:t>
            </w:r>
            <w:proofErr w:type="spellStart"/>
            <w:r w:rsidRPr="00162766">
              <w:rPr>
                <w:rFonts w:eastAsia="Times New Roman" w:cs="Times New Roman"/>
                <w:bCs/>
                <w:szCs w:val="24"/>
                <w:lang w:eastAsia="es-CO"/>
              </w:rPr>
              <w:t>uvt</w:t>
            </w:r>
            <w:proofErr w:type="spellEnd"/>
            <w:r w:rsidRPr="00162766">
              <w:rPr>
                <w:rFonts w:eastAsia="Times New Roman" w:cs="Times New Roman"/>
                <w:bCs/>
                <w:szCs w:val="24"/>
                <w:lang w:eastAsia="es-CO"/>
              </w:rPr>
              <w:t xml:space="preserve"> </w:t>
            </w:r>
          </w:p>
          <w:p w14:paraId="44BFCACF" w14:textId="2165CE5A" w:rsidR="00A61AE4" w:rsidRPr="00162766" w:rsidRDefault="00A1737D" w:rsidP="005A6F73">
            <w:pPr>
              <w:spacing w:line="360" w:lineRule="auto"/>
              <w:jc w:val="center"/>
              <w:rPr>
                <w:rFonts w:eastAsia="Times New Roman" w:cs="Times New Roman"/>
                <w:bCs/>
                <w:szCs w:val="24"/>
                <w:lang w:eastAsia="es-CO"/>
              </w:rPr>
            </w:pPr>
            <w:r>
              <w:rPr>
                <w:rFonts w:eastAsia="Times New Roman" w:cs="Times New Roman"/>
                <w:bCs/>
                <w:szCs w:val="24"/>
                <w:lang w:eastAsia="es-CO"/>
              </w:rPr>
              <w:t>1.594.089.783</w:t>
            </w:r>
          </w:p>
        </w:tc>
      </w:tr>
      <w:tr w:rsidR="00A61AE4" w14:paraId="1001178D" w14:textId="77777777" w:rsidTr="00237951">
        <w:tc>
          <w:tcPr>
            <w:tcW w:w="1056" w:type="dxa"/>
          </w:tcPr>
          <w:p w14:paraId="27C4074B" w14:textId="77777777" w:rsidR="005A6F73" w:rsidRPr="00162766" w:rsidRDefault="005A6F73" w:rsidP="00381821">
            <w:pPr>
              <w:spacing w:line="360" w:lineRule="auto"/>
              <w:jc w:val="both"/>
              <w:rPr>
                <w:rFonts w:eastAsia="Times New Roman" w:cs="Times New Roman"/>
                <w:b/>
                <w:szCs w:val="24"/>
                <w:lang w:eastAsia="es-CO"/>
              </w:rPr>
            </w:pPr>
          </w:p>
          <w:p w14:paraId="46234A8E" w14:textId="1079B290" w:rsidR="00A61AE4" w:rsidRPr="00162766" w:rsidRDefault="00A61AE4" w:rsidP="00381821">
            <w:pPr>
              <w:spacing w:line="360" w:lineRule="auto"/>
              <w:jc w:val="both"/>
              <w:rPr>
                <w:rFonts w:eastAsia="Times New Roman" w:cs="Times New Roman"/>
                <w:b/>
                <w:szCs w:val="24"/>
                <w:lang w:eastAsia="es-CO"/>
              </w:rPr>
            </w:pPr>
            <w:r w:rsidRPr="00162766">
              <w:rPr>
                <w:rFonts w:eastAsia="Times New Roman" w:cs="Times New Roman"/>
                <w:b/>
                <w:szCs w:val="24"/>
                <w:lang w:eastAsia="es-CO"/>
              </w:rPr>
              <w:t xml:space="preserve">Pequeña </w:t>
            </w:r>
          </w:p>
        </w:tc>
        <w:tc>
          <w:tcPr>
            <w:tcW w:w="3339" w:type="dxa"/>
          </w:tcPr>
          <w:p w14:paraId="001DA833" w14:textId="77777777" w:rsidR="003D750B" w:rsidRPr="00162766" w:rsidRDefault="00C764BA" w:rsidP="003D750B">
            <w:pPr>
              <w:spacing w:line="360" w:lineRule="auto"/>
              <w:jc w:val="both"/>
              <w:rPr>
                <w:rFonts w:eastAsia="Times New Roman" w:cs="Times New Roman"/>
                <w:bCs/>
                <w:szCs w:val="24"/>
                <w:lang w:eastAsia="es-CO"/>
              </w:rPr>
            </w:pPr>
            <w:r w:rsidRPr="00162766">
              <w:rPr>
                <w:rFonts w:eastAsia="Times New Roman" w:cs="Times New Roman"/>
                <w:bCs/>
                <w:szCs w:val="24"/>
                <w:lang w:eastAsia="es-CO"/>
              </w:rPr>
              <w:t xml:space="preserve">Superior a 23.563 </w:t>
            </w:r>
            <w:proofErr w:type="spellStart"/>
            <w:r w:rsidRPr="00162766">
              <w:rPr>
                <w:rFonts w:eastAsia="Times New Roman" w:cs="Times New Roman"/>
                <w:bCs/>
                <w:szCs w:val="24"/>
                <w:lang w:eastAsia="es-CO"/>
              </w:rPr>
              <w:t>uvt</w:t>
            </w:r>
            <w:proofErr w:type="spellEnd"/>
            <w:r w:rsidRPr="00162766">
              <w:rPr>
                <w:rFonts w:eastAsia="Times New Roman" w:cs="Times New Roman"/>
                <w:bCs/>
                <w:szCs w:val="24"/>
                <w:lang w:eastAsia="es-CO"/>
              </w:rPr>
              <w:t xml:space="preserve"> y h</w:t>
            </w:r>
            <w:r w:rsidR="00A61AE4" w:rsidRPr="00162766">
              <w:rPr>
                <w:rFonts w:eastAsia="Times New Roman" w:cs="Times New Roman"/>
                <w:bCs/>
                <w:szCs w:val="24"/>
                <w:lang w:eastAsia="es-CO"/>
              </w:rPr>
              <w:t xml:space="preserve">asta 204.995 </w:t>
            </w:r>
            <w:proofErr w:type="spellStart"/>
            <w:r w:rsidR="00A61AE4" w:rsidRPr="00162766">
              <w:rPr>
                <w:rFonts w:eastAsia="Times New Roman" w:cs="Times New Roman"/>
                <w:bCs/>
                <w:szCs w:val="24"/>
                <w:lang w:eastAsia="es-CO"/>
              </w:rPr>
              <w:t>uvt</w:t>
            </w:r>
            <w:proofErr w:type="spellEnd"/>
            <w:r w:rsidR="00A61AE4" w:rsidRPr="00162766">
              <w:rPr>
                <w:rFonts w:eastAsia="Times New Roman" w:cs="Times New Roman"/>
                <w:bCs/>
                <w:szCs w:val="24"/>
                <w:lang w:eastAsia="es-CO"/>
              </w:rPr>
              <w:t xml:space="preserve"> </w:t>
            </w:r>
          </w:p>
          <w:p w14:paraId="52EFFE8E" w14:textId="1090E616" w:rsidR="00A61AE4" w:rsidRPr="00162766" w:rsidRDefault="003D750B" w:rsidP="003D750B">
            <w:pPr>
              <w:spacing w:line="360" w:lineRule="auto"/>
              <w:jc w:val="both"/>
              <w:rPr>
                <w:rFonts w:eastAsia="Times New Roman" w:cs="Times New Roman"/>
                <w:bCs/>
                <w:szCs w:val="24"/>
                <w:lang w:eastAsia="es-CO"/>
              </w:rPr>
            </w:pPr>
            <w:r w:rsidRPr="00162766">
              <w:rPr>
                <w:rFonts w:eastAsia="Times New Roman" w:cs="Times New Roman"/>
                <w:bCs/>
                <w:szCs w:val="24"/>
                <w:lang w:eastAsia="es-CO"/>
              </w:rPr>
              <w:t xml:space="preserve">            7.299.256.965</w:t>
            </w:r>
          </w:p>
        </w:tc>
        <w:tc>
          <w:tcPr>
            <w:tcW w:w="3132" w:type="dxa"/>
          </w:tcPr>
          <w:p w14:paraId="577B7E47" w14:textId="7FE6C7D3" w:rsidR="00A61AE4" w:rsidRPr="00162766" w:rsidRDefault="00C764BA" w:rsidP="00381821">
            <w:pPr>
              <w:spacing w:line="360" w:lineRule="auto"/>
              <w:jc w:val="both"/>
              <w:rPr>
                <w:rFonts w:eastAsia="Times New Roman" w:cs="Times New Roman"/>
                <w:bCs/>
                <w:szCs w:val="24"/>
                <w:lang w:eastAsia="es-CO"/>
              </w:rPr>
            </w:pPr>
            <w:r w:rsidRPr="00162766">
              <w:rPr>
                <w:rFonts w:eastAsia="Times New Roman" w:cs="Times New Roman"/>
                <w:bCs/>
                <w:szCs w:val="24"/>
                <w:lang w:eastAsia="es-CO"/>
              </w:rPr>
              <w:t xml:space="preserve">Superior a 32.988 </w:t>
            </w:r>
            <w:proofErr w:type="spellStart"/>
            <w:r w:rsidRPr="00162766">
              <w:rPr>
                <w:rFonts w:eastAsia="Times New Roman" w:cs="Times New Roman"/>
                <w:bCs/>
                <w:szCs w:val="24"/>
                <w:lang w:eastAsia="es-CO"/>
              </w:rPr>
              <w:t>uvt</w:t>
            </w:r>
            <w:proofErr w:type="spellEnd"/>
            <w:r w:rsidRPr="00162766">
              <w:rPr>
                <w:rFonts w:eastAsia="Times New Roman" w:cs="Times New Roman"/>
                <w:bCs/>
                <w:szCs w:val="24"/>
                <w:lang w:eastAsia="es-CO"/>
              </w:rPr>
              <w:t xml:space="preserve"> y h</w:t>
            </w:r>
            <w:r w:rsidR="00A61AE4" w:rsidRPr="00162766">
              <w:rPr>
                <w:rFonts w:eastAsia="Times New Roman" w:cs="Times New Roman"/>
                <w:bCs/>
                <w:szCs w:val="24"/>
                <w:lang w:eastAsia="es-CO"/>
              </w:rPr>
              <w:t xml:space="preserve">asta 131.951 </w:t>
            </w:r>
            <w:proofErr w:type="spellStart"/>
            <w:r w:rsidR="00A61AE4" w:rsidRPr="00162766">
              <w:rPr>
                <w:rFonts w:eastAsia="Times New Roman" w:cs="Times New Roman"/>
                <w:bCs/>
                <w:szCs w:val="24"/>
                <w:lang w:eastAsia="es-CO"/>
              </w:rPr>
              <w:t>uvt</w:t>
            </w:r>
            <w:proofErr w:type="spellEnd"/>
            <w:r w:rsidR="00A61AE4" w:rsidRPr="00162766">
              <w:rPr>
                <w:rFonts w:eastAsia="Times New Roman" w:cs="Times New Roman"/>
                <w:bCs/>
                <w:szCs w:val="24"/>
                <w:lang w:eastAsia="es-CO"/>
              </w:rPr>
              <w:t xml:space="preserve"> </w:t>
            </w:r>
          </w:p>
          <w:p w14:paraId="5C0566AD" w14:textId="15FA28B9" w:rsidR="00A61AE4" w:rsidRPr="00162766" w:rsidRDefault="003D750B" w:rsidP="005A6F73">
            <w:pPr>
              <w:spacing w:line="360" w:lineRule="auto"/>
              <w:jc w:val="center"/>
              <w:rPr>
                <w:rFonts w:eastAsia="Times New Roman" w:cs="Times New Roman"/>
                <w:bCs/>
                <w:szCs w:val="24"/>
                <w:lang w:eastAsia="es-CO"/>
              </w:rPr>
            </w:pPr>
            <w:r w:rsidRPr="00162766">
              <w:rPr>
                <w:rFonts w:eastAsia="Times New Roman" w:cs="Times New Roman"/>
                <w:bCs/>
                <w:szCs w:val="24"/>
                <w:lang w:eastAsia="es-CO"/>
              </w:rPr>
              <w:t>4.698.379.257</w:t>
            </w:r>
          </w:p>
        </w:tc>
        <w:tc>
          <w:tcPr>
            <w:tcW w:w="2679" w:type="dxa"/>
          </w:tcPr>
          <w:p w14:paraId="29DEEEBE" w14:textId="63C13532" w:rsidR="00A61AE4" w:rsidRPr="00162766" w:rsidRDefault="00C764BA" w:rsidP="00381821">
            <w:pPr>
              <w:spacing w:line="360" w:lineRule="auto"/>
              <w:jc w:val="both"/>
              <w:rPr>
                <w:rFonts w:eastAsia="Times New Roman" w:cs="Times New Roman"/>
                <w:bCs/>
                <w:szCs w:val="24"/>
                <w:lang w:eastAsia="es-CO"/>
              </w:rPr>
            </w:pPr>
            <w:r w:rsidRPr="00162766">
              <w:rPr>
                <w:rFonts w:eastAsia="Times New Roman" w:cs="Times New Roman"/>
                <w:bCs/>
                <w:szCs w:val="24"/>
                <w:lang w:eastAsia="es-CO"/>
              </w:rPr>
              <w:t xml:space="preserve">Superior a 44.679 </w:t>
            </w:r>
            <w:proofErr w:type="spellStart"/>
            <w:r w:rsidRPr="00162766">
              <w:rPr>
                <w:rFonts w:eastAsia="Times New Roman" w:cs="Times New Roman"/>
                <w:bCs/>
                <w:szCs w:val="24"/>
                <w:lang w:eastAsia="es-CO"/>
              </w:rPr>
              <w:t>uvt</w:t>
            </w:r>
            <w:proofErr w:type="spellEnd"/>
            <w:r w:rsidRPr="00162766">
              <w:rPr>
                <w:rFonts w:eastAsia="Times New Roman" w:cs="Times New Roman"/>
                <w:bCs/>
                <w:szCs w:val="24"/>
                <w:lang w:eastAsia="es-CO"/>
              </w:rPr>
              <w:t xml:space="preserve"> y hasta </w:t>
            </w:r>
            <w:r w:rsidR="00A61AE4" w:rsidRPr="00162766">
              <w:rPr>
                <w:rFonts w:eastAsia="Times New Roman" w:cs="Times New Roman"/>
                <w:bCs/>
                <w:szCs w:val="24"/>
                <w:lang w:eastAsia="es-CO"/>
              </w:rPr>
              <w:t xml:space="preserve">431.196 </w:t>
            </w:r>
            <w:proofErr w:type="spellStart"/>
            <w:r w:rsidR="00A61AE4" w:rsidRPr="00162766">
              <w:rPr>
                <w:rFonts w:eastAsia="Times New Roman" w:cs="Times New Roman"/>
                <w:bCs/>
                <w:szCs w:val="24"/>
                <w:lang w:eastAsia="es-CO"/>
              </w:rPr>
              <w:t>uvt</w:t>
            </w:r>
            <w:proofErr w:type="spellEnd"/>
            <w:r w:rsidR="00A61AE4" w:rsidRPr="00162766">
              <w:rPr>
                <w:rFonts w:eastAsia="Times New Roman" w:cs="Times New Roman"/>
                <w:bCs/>
                <w:szCs w:val="24"/>
                <w:lang w:eastAsia="es-CO"/>
              </w:rPr>
              <w:t xml:space="preserve"> </w:t>
            </w:r>
          </w:p>
          <w:p w14:paraId="5640D390" w14:textId="0AD37F30" w:rsidR="00C764BA" w:rsidRPr="00162766" w:rsidRDefault="003D750B" w:rsidP="005A6F73">
            <w:pPr>
              <w:spacing w:line="360" w:lineRule="auto"/>
              <w:jc w:val="center"/>
              <w:rPr>
                <w:rFonts w:eastAsia="Times New Roman" w:cs="Times New Roman"/>
                <w:bCs/>
                <w:szCs w:val="24"/>
                <w:lang w:eastAsia="es-CO"/>
              </w:rPr>
            </w:pPr>
            <w:r w:rsidRPr="00162766">
              <w:rPr>
                <w:rFonts w:eastAsia="Times New Roman" w:cs="Times New Roman"/>
                <w:bCs/>
                <w:szCs w:val="24"/>
                <w:lang w:eastAsia="es-CO"/>
              </w:rPr>
              <w:t>15.353.595.972</w:t>
            </w:r>
          </w:p>
        </w:tc>
      </w:tr>
      <w:tr w:rsidR="00A61AE4" w14:paraId="4E2F8B1E" w14:textId="77777777" w:rsidTr="00237951">
        <w:tc>
          <w:tcPr>
            <w:tcW w:w="1056" w:type="dxa"/>
          </w:tcPr>
          <w:p w14:paraId="30D63D19" w14:textId="77777777" w:rsidR="005A6F73" w:rsidRPr="00162766" w:rsidRDefault="005A6F73" w:rsidP="00381821">
            <w:pPr>
              <w:spacing w:line="360" w:lineRule="auto"/>
              <w:jc w:val="both"/>
              <w:rPr>
                <w:rFonts w:eastAsia="Times New Roman" w:cs="Times New Roman"/>
                <w:b/>
                <w:szCs w:val="24"/>
                <w:lang w:eastAsia="es-CO"/>
              </w:rPr>
            </w:pPr>
          </w:p>
          <w:p w14:paraId="14F146B4" w14:textId="26589EF1" w:rsidR="00A61AE4" w:rsidRPr="00162766" w:rsidRDefault="00A61AE4" w:rsidP="00381821">
            <w:pPr>
              <w:spacing w:line="360" w:lineRule="auto"/>
              <w:jc w:val="both"/>
              <w:rPr>
                <w:rFonts w:eastAsia="Times New Roman" w:cs="Times New Roman"/>
                <w:b/>
                <w:szCs w:val="24"/>
                <w:lang w:eastAsia="es-CO"/>
              </w:rPr>
            </w:pPr>
            <w:r w:rsidRPr="00162766">
              <w:rPr>
                <w:rFonts w:eastAsia="Times New Roman" w:cs="Times New Roman"/>
                <w:b/>
                <w:szCs w:val="24"/>
                <w:lang w:eastAsia="es-CO"/>
              </w:rPr>
              <w:t>Mediana</w:t>
            </w:r>
          </w:p>
        </w:tc>
        <w:tc>
          <w:tcPr>
            <w:tcW w:w="3339" w:type="dxa"/>
          </w:tcPr>
          <w:p w14:paraId="752E60C5" w14:textId="39C6AD82" w:rsidR="00A61AE4" w:rsidRPr="00162766" w:rsidRDefault="00C764BA" w:rsidP="00381821">
            <w:pPr>
              <w:spacing w:line="360" w:lineRule="auto"/>
              <w:jc w:val="both"/>
              <w:rPr>
                <w:rFonts w:eastAsia="Times New Roman" w:cs="Times New Roman"/>
                <w:bCs/>
                <w:szCs w:val="24"/>
                <w:lang w:eastAsia="es-CO"/>
              </w:rPr>
            </w:pPr>
            <w:r w:rsidRPr="00162766">
              <w:rPr>
                <w:rFonts w:eastAsia="Times New Roman" w:cs="Times New Roman"/>
                <w:bCs/>
                <w:szCs w:val="24"/>
                <w:lang w:eastAsia="es-CO"/>
              </w:rPr>
              <w:t xml:space="preserve">Superior a 204.995 </w:t>
            </w:r>
            <w:proofErr w:type="spellStart"/>
            <w:r w:rsidRPr="00162766">
              <w:rPr>
                <w:rFonts w:eastAsia="Times New Roman" w:cs="Times New Roman"/>
                <w:bCs/>
                <w:szCs w:val="24"/>
                <w:lang w:eastAsia="es-CO"/>
              </w:rPr>
              <w:t>uvt</w:t>
            </w:r>
            <w:proofErr w:type="spellEnd"/>
            <w:r w:rsidRPr="00162766">
              <w:rPr>
                <w:rFonts w:eastAsia="Times New Roman" w:cs="Times New Roman"/>
                <w:bCs/>
                <w:szCs w:val="24"/>
                <w:lang w:eastAsia="es-CO"/>
              </w:rPr>
              <w:t xml:space="preserve"> y hasta 1.736.565 </w:t>
            </w:r>
            <w:proofErr w:type="spellStart"/>
            <w:r w:rsidRPr="00162766">
              <w:rPr>
                <w:rFonts w:eastAsia="Times New Roman" w:cs="Times New Roman"/>
                <w:bCs/>
                <w:szCs w:val="24"/>
                <w:lang w:eastAsia="es-CO"/>
              </w:rPr>
              <w:t>uvt</w:t>
            </w:r>
            <w:proofErr w:type="spellEnd"/>
            <w:r w:rsidRPr="00162766">
              <w:rPr>
                <w:rFonts w:eastAsia="Times New Roman" w:cs="Times New Roman"/>
                <w:bCs/>
                <w:szCs w:val="24"/>
                <w:lang w:eastAsia="es-CO"/>
              </w:rPr>
              <w:t xml:space="preserve"> </w:t>
            </w:r>
          </w:p>
          <w:p w14:paraId="07323000" w14:textId="60F09F2B" w:rsidR="00C764BA" w:rsidRPr="00162766" w:rsidRDefault="00172265" w:rsidP="005A6F73">
            <w:pPr>
              <w:spacing w:line="360" w:lineRule="auto"/>
              <w:jc w:val="center"/>
              <w:rPr>
                <w:rFonts w:eastAsia="Times New Roman" w:cs="Times New Roman"/>
                <w:bCs/>
                <w:szCs w:val="24"/>
                <w:lang w:eastAsia="es-CO"/>
              </w:rPr>
            </w:pPr>
            <w:r w:rsidRPr="00162766">
              <w:rPr>
                <w:rFonts w:eastAsia="Times New Roman" w:cs="Times New Roman"/>
                <w:bCs/>
                <w:szCs w:val="24"/>
                <w:lang w:eastAsia="es-CO"/>
              </w:rPr>
              <w:t>61.833.869.955</w:t>
            </w:r>
          </w:p>
        </w:tc>
        <w:tc>
          <w:tcPr>
            <w:tcW w:w="3132" w:type="dxa"/>
          </w:tcPr>
          <w:p w14:paraId="4B4B0059" w14:textId="77777777" w:rsidR="00A61AE4" w:rsidRPr="00162766" w:rsidRDefault="00C764BA" w:rsidP="00381821">
            <w:pPr>
              <w:spacing w:line="360" w:lineRule="auto"/>
              <w:jc w:val="both"/>
              <w:rPr>
                <w:rFonts w:eastAsia="Times New Roman" w:cs="Times New Roman"/>
                <w:bCs/>
                <w:szCs w:val="24"/>
                <w:lang w:eastAsia="es-CO"/>
              </w:rPr>
            </w:pPr>
            <w:r w:rsidRPr="00162766">
              <w:rPr>
                <w:rFonts w:eastAsia="Times New Roman" w:cs="Times New Roman"/>
                <w:bCs/>
                <w:szCs w:val="24"/>
                <w:lang w:eastAsia="es-CO"/>
              </w:rPr>
              <w:t xml:space="preserve">Superior a 131.951 y hasta 483.034 </w:t>
            </w:r>
            <w:proofErr w:type="spellStart"/>
            <w:r w:rsidRPr="00162766">
              <w:rPr>
                <w:rFonts w:eastAsia="Times New Roman" w:cs="Times New Roman"/>
                <w:bCs/>
                <w:szCs w:val="24"/>
                <w:lang w:eastAsia="es-CO"/>
              </w:rPr>
              <w:t>uvt</w:t>
            </w:r>
            <w:proofErr w:type="spellEnd"/>
            <w:r w:rsidRPr="00162766">
              <w:rPr>
                <w:rFonts w:eastAsia="Times New Roman" w:cs="Times New Roman"/>
                <w:bCs/>
                <w:szCs w:val="24"/>
                <w:lang w:eastAsia="es-CO"/>
              </w:rPr>
              <w:t xml:space="preserve"> </w:t>
            </w:r>
          </w:p>
          <w:p w14:paraId="2B6823DA" w14:textId="01F71D63" w:rsidR="00237951" w:rsidRPr="00162766" w:rsidRDefault="00172265" w:rsidP="005A6F73">
            <w:pPr>
              <w:spacing w:line="360" w:lineRule="auto"/>
              <w:jc w:val="center"/>
              <w:rPr>
                <w:rFonts w:eastAsia="Times New Roman" w:cs="Times New Roman"/>
                <w:bCs/>
                <w:szCs w:val="24"/>
                <w:lang w:eastAsia="es-CO"/>
              </w:rPr>
            </w:pPr>
            <w:r w:rsidRPr="00162766">
              <w:rPr>
                <w:rFonts w:eastAsia="Times New Roman" w:cs="Times New Roman"/>
                <w:bCs/>
                <w:szCs w:val="24"/>
                <w:lang w:eastAsia="es-CO"/>
              </w:rPr>
              <w:t>17.199.391.638</w:t>
            </w:r>
          </w:p>
        </w:tc>
        <w:tc>
          <w:tcPr>
            <w:tcW w:w="2679" w:type="dxa"/>
          </w:tcPr>
          <w:p w14:paraId="2E9DE0C8" w14:textId="77777777" w:rsidR="00A61AE4" w:rsidRPr="00162766" w:rsidRDefault="00C764BA" w:rsidP="00381821">
            <w:pPr>
              <w:spacing w:line="360" w:lineRule="auto"/>
              <w:jc w:val="both"/>
              <w:rPr>
                <w:rFonts w:eastAsia="Times New Roman" w:cs="Times New Roman"/>
                <w:bCs/>
                <w:szCs w:val="24"/>
                <w:lang w:eastAsia="es-CO"/>
              </w:rPr>
            </w:pPr>
            <w:r w:rsidRPr="00162766">
              <w:rPr>
                <w:rFonts w:eastAsia="Times New Roman" w:cs="Times New Roman"/>
                <w:bCs/>
                <w:szCs w:val="24"/>
                <w:lang w:eastAsia="es-CO"/>
              </w:rPr>
              <w:t xml:space="preserve">Superior a 431.196 </w:t>
            </w:r>
            <w:proofErr w:type="spellStart"/>
            <w:r w:rsidRPr="00162766">
              <w:rPr>
                <w:rFonts w:eastAsia="Times New Roman" w:cs="Times New Roman"/>
                <w:bCs/>
                <w:szCs w:val="24"/>
                <w:lang w:eastAsia="es-CO"/>
              </w:rPr>
              <w:t>uvt</w:t>
            </w:r>
            <w:proofErr w:type="spellEnd"/>
            <w:r w:rsidRPr="00162766">
              <w:rPr>
                <w:rFonts w:eastAsia="Times New Roman" w:cs="Times New Roman"/>
                <w:bCs/>
                <w:szCs w:val="24"/>
                <w:lang w:eastAsia="es-CO"/>
              </w:rPr>
              <w:t xml:space="preserve"> y hasta 2.160.692 </w:t>
            </w:r>
            <w:proofErr w:type="spellStart"/>
            <w:r w:rsidRPr="00162766">
              <w:rPr>
                <w:rFonts w:eastAsia="Times New Roman" w:cs="Times New Roman"/>
                <w:bCs/>
                <w:szCs w:val="24"/>
                <w:lang w:eastAsia="es-CO"/>
              </w:rPr>
              <w:t>uvt</w:t>
            </w:r>
            <w:proofErr w:type="spellEnd"/>
            <w:r w:rsidRPr="00162766">
              <w:rPr>
                <w:rFonts w:eastAsia="Times New Roman" w:cs="Times New Roman"/>
                <w:bCs/>
                <w:szCs w:val="24"/>
                <w:lang w:eastAsia="es-CO"/>
              </w:rPr>
              <w:t xml:space="preserve">. </w:t>
            </w:r>
          </w:p>
          <w:p w14:paraId="55343058" w14:textId="0BDD78BF" w:rsidR="00237951" w:rsidRPr="00162766" w:rsidRDefault="00172265" w:rsidP="005A6F73">
            <w:pPr>
              <w:spacing w:line="360" w:lineRule="auto"/>
              <w:jc w:val="center"/>
              <w:rPr>
                <w:rFonts w:eastAsia="Times New Roman" w:cs="Times New Roman"/>
                <w:bCs/>
                <w:szCs w:val="24"/>
                <w:lang w:eastAsia="es-CO"/>
              </w:rPr>
            </w:pPr>
            <w:r w:rsidRPr="00162766">
              <w:rPr>
                <w:rFonts w:eastAsia="Times New Roman" w:cs="Times New Roman"/>
                <w:bCs/>
                <w:szCs w:val="24"/>
                <w:lang w:eastAsia="es-CO"/>
              </w:rPr>
              <w:t>76.935.760.044</w:t>
            </w:r>
          </w:p>
        </w:tc>
      </w:tr>
    </w:tbl>
    <w:p w14:paraId="606E8CF3" w14:textId="0C22382C" w:rsidR="00A61AE4" w:rsidRDefault="00A61AE4" w:rsidP="00381821">
      <w:pPr>
        <w:spacing w:after="0" w:line="360" w:lineRule="auto"/>
        <w:jc w:val="both"/>
        <w:rPr>
          <w:rFonts w:eastAsia="Times New Roman" w:cs="Times New Roman"/>
          <w:b/>
          <w:szCs w:val="24"/>
          <w:lang w:eastAsia="es-CO"/>
        </w:rPr>
      </w:pPr>
    </w:p>
    <w:p w14:paraId="5C50C60D" w14:textId="77777777" w:rsidR="00A61AE4" w:rsidRDefault="00A61AE4" w:rsidP="00381821">
      <w:pPr>
        <w:spacing w:after="0" w:line="360" w:lineRule="auto"/>
        <w:jc w:val="both"/>
        <w:rPr>
          <w:rFonts w:eastAsia="Times New Roman" w:cs="Times New Roman"/>
          <w:b/>
          <w:szCs w:val="24"/>
          <w:lang w:eastAsia="es-CO"/>
        </w:rPr>
      </w:pPr>
    </w:p>
    <w:p w14:paraId="4F69D082" w14:textId="77777777" w:rsidR="00B67929" w:rsidRPr="00745F8D" w:rsidRDefault="00B67929" w:rsidP="00381821">
      <w:pPr>
        <w:spacing w:after="0" w:line="360" w:lineRule="auto"/>
        <w:jc w:val="both"/>
        <w:rPr>
          <w:rFonts w:eastAsia="Times New Roman" w:cs="Times New Roman"/>
          <w:szCs w:val="24"/>
          <w:lang w:eastAsia="es-CO"/>
        </w:rPr>
      </w:pPr>
      <w:r w:rsidRPr="009773E5">
        <w:rPr>
          <w:rFonts w:eastAsia="Times New Roman" w:cs="Times New Roman"/>
          <w:b/>
          <w:szCs w:val="24"/>
          <w:highlight w:val="green"/>
          <w:lang w:eastAsia="es-CO"/>
        </w:rPr>
        <w:t>NOTA</w:t>
      </w:r>
      <w:r w:rsidRPr="009773E5">
        <w:rPr>
          <w:rFonts w:eastAsia="Times New Roman" w:cs="Times New Roman"/>
          <w:szCs w:val="24"/>
          <w:highlight w:val="green"/>
          <w:lang w:eastAsia="es-CO"/>
        </w:rPr>
        <w:t>: Para las empresas que cuenten con menos de un año de existencia, sus ingresos por actividades ordinarias serán los obtenidos durante el tiempo de su operación, con corte al mes inmediatamente anterior a la fecha de presentación de la propuesta o del trámite respectivo.</w:t>
      </w:r>
    </w:p>
    <w:bookmarkEnd w:id="0"/>
    <w:p w14:paraId="2970FB79" w14:textId="77777777" w:rsidR="00B67929" w:rsidRDefault="00B67929" w:rsidP="00381821">
      <w:pPr>
        <w:spacing w:after="0" w:line="360" w:lineRule="auto"/>
        <w:jc w:val="both"/>
        <w:rPr>
          <w:rFonts w:eastAsia="Times New Roman" w:cs="Times New Roman"/>
          <w:szCs w:val="24"/>
          <w:lang w:eastAsia="es-CO"/>
        </w:rPr>
      </w:pPr>
    </w:p>
    <w:sectPr w:rsidR="00B67929" w:rsidSect="00A45230">
      <w:headerReference w:type="default" r:id="rId7"/>
      <w:pgSz w:w="12191" w:h="18711"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95C6" w14:textId="77777777" w:rsidR="003C6CD8" w:rsidRDefault="003C6CD8" w:rsidP="00BA7927">
      <w:pPr>
        <w:spacing w:after="0" w:line="240" w:lineRule="auto"/>
      </w:pPr>
      <w:r>
        <w:separator/>
      </w:r>
    </w:p>
  </w:endnote>
  <w:endnote w:type="continuationSeparator" w:id="0">
    <w:p w14:paraId="42C61322" w14:textId="77777777" w:rsidR="003C6CD8" w:rsidRDefault="003C6CD8" w:rsidP="00BA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355B" w14:textId="77777777" w:rsidR="003C6CD8" w:rsidRDefault="003C6CD8" w:rsidP="00BA7927">
      <w:pPr>
        <w:spacing w:after="0" w:line="240" w:lineRule="auto"/>
      </w:pPr>
      <w:r>
        <w:separator/>
      </w:r>
    </w:p>
  </w:footnote>
  <w:footnote w:type="continuationSeparator" w:id="0">
    <w:p w14:paraId="0644250A" w14:textId="77777777" w:rsidR="003C6CD8" w:rsidRDefault="003C6CD8" w:rsidP="00BA7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853878"/>
      <w:docPartObj>
        <w:docPartGallery w:val="Page Numbers (Top of Page)"/>
        <w:docPartUnique/>
      </w:docPartObj>
    </w:sdtPr>
    <w:sdtEndPr/>
    <w:sdtContent>
      <w:p w14:paraId="49CB10BD" w14:textId="640CE771" w:rsidR="00BA7927" w:rsidRDefault="00BA7927">
        <w:pPr>
          <w:pStyle w:val="Encabezado"/>
          <w:jc w:val="right"/>
        </w:pPr>
        <w:r>
          <w:fldChar w:fldCharType="begin"/>
        </w:r>
        <w:r>
          <w:instrText>PAGE   \* MERGEFORMAT</w:instrText>
        </w:r>
        <w:r>
          <w:fldChar w:fldCharType="separate"/>
        </w:r>
        <w:r>
          <w:rPr>
            <w:lang w:val="es-ES"/>
          </w:rPr>
          <w:t>2</w:t>
        </w:r>
        <w:r>
          <w:fldChar w:fldCharType="end"/>
        </w:r>
      </w:p>
    </w:sdtContent>
  </w:sdt>
  <w:p w14:paraId="6B4CFC07" w14:textId="77777777" w:rsidR="00BA7927" w:rsidRDefault="00BA792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F8D"/>
    <w:rsid w:val="00007D1B"/>
    <w:rsid w:val="0008484C"/>
    <w:rsid w:val="000A0C58"/>
    <w:rsid w:val="000D3C6F"/>
    <w:rsid w:val="001378CB"/>
    <w:rsid w:val="00147766"/>
    <w:rsid w:val="00162766"/>
    <w:rsid w:val="00172265"/>
    <w:rsid w:val="00191530"/>
    <w:rsid w:val="0020252D"/>
    <w:rsid w:val="00237951"/>
    <w:rsid w:val="002F0D45"/>
    <w:rsid w:val="002F5EDC"/>
    <w:rsid w:val="00330CE8"/>
    <w:rsid w:val="00340F49"/>
    <w:rsid w:val="00351F1E"/>
    <w:rsid w:val="00353970"/>
    <w:rsid w:val="00381821"/>
    <w:rsid w:val="003C6CD8"/>
    <w:rsid w:val="003D750B"/>
    <w:rsid w:val="00463C5F"/>
    <w:rsid w:val="004A3083"/>
    <w:rsid w:val="005A6F73"/>
    <w:rsid w:val="005B01BF"/>
    <w:rsid w:val="005B5C9E"/>
    <w:rsid w:val="00612E0B"/>
    <w:rsid w:val="0066544E"/>
    <w:rsid w:val="006E5EE7"/>
    <w:rsid w:val="00730617"/>
    <w:rsid w:val="00745F8D"/>
    <w:rsid w:val="00755BD0"/>
    <w:rsid w:val="007A5B0D"/>
    <w:rsid w:val="007D139C"/>
    <w:rsid w:val="00815047"/>
    <w:rsid w:val="0084468E"/>
    <w:rsid w:val="008B61CD"/>
    <w:rsid w:val="008C02CD"/>
    <w:rsid w:val="008E31E6"/>
    <w:rsid w:val="00904370"/>
    <w:rsid w:val="00913770"/>
    <w:rsid w:val="00923D36"/>
    <w:rsid w:val="009600F7"/>
    <w:rsid w:val="00964E9D"/>
    <w:rsid w:val="009773E5"/>
    <w:rsid w:val="00A1737D"/>
    <w:rsid w:val="00A449D3"/>
    <w:rsid w:val="00A45230"/>
    <w:rsid w:val="00A61AE4"/>
    <w:rsid w:val="00A805F9"/>
    <w:rsid w:val="00AB7B6F"/>
    <w:rsid w:val="00AC4F0F"/>
    <w:rsid w:val="00AE4565"/>
    <w:rsid w:val="00B0071F"/>
    <w:rsid w:val="00B03489"/>
    <w:rsid w:val="00B56FC1"/>
    <w:rsid w:val="00B67929"/>
    <w:rsid w:val="00BA7927"/>
    <w:rsid w:val="00C40C69"/>
    <w:rsid w:val="00C55267"/>
    <w:rsid w:val="00C764BA"/>
    <w:rsid w:val="00C8425B"/>
    <w:rsid w:val="00CD5C36"/>
    <w:rsid w:val="00CF3804"/>
    <w:rsid w:val="00D14B1F"/>
    <w:rsid w:val="00D24CC9"/>
    <w:rsid w:val="00D62BB6"/>
    <w:rsid w:val="00D96BBF"/>
    <w:rsid w:val="00E31FB0"/>
    <w:rsid w:val="00EF6769"/>
    <w:rsid w:val="00F33B2A"/>
    <w:rsid w:val="00F604C2"/>
    <w:rsid w:val="00F6274C"/>
    <w:rsid w:val="00F63884"/>
    <w:rsid w:val="00F64DE8"/>
    <w:rsid w:val="00F84882"/>
    <w:rsid w:val="00FB6032"/>
    <w:rsid w:val="00FE12F7"/>
    <w:rsid w:val="00FF46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A188"/>
  <w15:chartTrackingRefBased/>
  <w15:docId w15:val="{7BD74F09-6359-43B6-86F5-4A6F8B9F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E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79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7927"/>
  </w:style>
  <w:style w:type="paragraph" w:styleId="Piedepgina">
    <w:name w:val="footer"/>
    <w:basedOn w:val="Normal"/>
    <w:link w:val="PiedepginaCar"/>
    <w:uiPriority w:val="99"/>
    <w:unhideWhenUsed/>
    <w:rsid w:val="00BA79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2FD5-C5E9-418E-B605-63219098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2273</Words>
  <Characters>12506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Guillermo Alzate Duque</cp:lastModifiedBy>
  <cp:revision>16</cp:revision>
  <dcterms:created xsi:type="dcterms:W3CDTF">2021-06-24T15:25:00Z</dcterms:created>
  <dcterms:modified xsi:type="dcterms:W3CDTF">2021-10-29T16:22:00Z</dcterms:modified>
</cp:coreProperties>
</file>